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480" w:beforeLines="200" w:after="0" w:line="440" w:lineRule="exact"/>
        <w:jc w:val="center"/>
        <w:rPr>
          <w:rFonts w:ascii="黑体" w:hAnsi="黑体" w:eastAsia="黑体" w:cs="Times New Roman"/>
          <w:sz w:val="36"/>
          <w:szCs w:val="36"/>
        </w:rPr>
      </w:pPr>
    </w:p>
    <w:p>
      <w:pPr>
        <w:pStyle w:val="2"/>
        <w:adjustRightInd w:val="0"/>
        <w:snapToGrid w:val="0"/>
        <w:spacing w:before="480" w:beforeLines="200" w:after="0" w:line="440" w:lineRule="exact"/>
        <w:jc w:val="center"/>
        <w:rPr>
          <w:rFonts w:ascii="黑体" w:hAnsi="黑体" w:eastAsia="黑体" w:cs="Times New Roman"/>
          <w:sz w:val="36"/>
          <w:szCs w:val="36"/>
        </w:rPr>
      </w:pPr>
      <w:r>
        <w:rPr>
          <w:rFonts w:ascii="黑体" w:hAnsi="黑体" w:eastAsia="黑体" w:cs="Times New Roman"/>
          <w:sz w:val="36"/>
          <w:szCs w:val="36"/>
        </w:rPr>
        <w:t>华东师范大学</w:t>
      </w:r>
      <w:bookmarkStart w:id="0" w:name="_Hlk164429788"/>
      <w:r>
        <w:rPr>
          <w:rFonts w:hint="eastAsia" w:ascii="黑体" w:hAnsi="黑体" w:eastAsia="黑体" w:cs="Times New Roman"/>
          <w:sz w:val="36"/>
          <w:szCs w:val="36"/>
        </w:rPr>
        <w:t>本研衔接</w:t>
      </w:r>
      <w:r>
        <w:rPr>
          <w:rFonts w:ascii="黑体" w:hAnsi="黑体" w:eastAsia="黑体" w:cs="Times New Roman"/>
          <w:sz w:val="36"/>
          <w:szCs w:val="36"/>
        </w:rPr>
        <w:t>师范生</w:t>
      </w:r>
      <w:r>
        <w:rPr>
          <w:rFonts w:hint="eastAsia" w:ascii="黑体" w:hAnsi="黑体" w:eastAsia="黑体" w:cs="Times New Roman"/>
          <w:sz w:val="36"/>
          <w:szCs w:val="36"/>
        </w:rPr>
        <w:t>公费教育</w:t>
      </w:r>
      <w:r>
        <w:rPr>
          <w:rFonts w:ascii="黑体" w:hAnsi="黑体" w:eastAsia="黑体" w:cs="Times New Roman"/>
          <w:sz w:val="36"/>
          <w:szCs w:val="36"/>
        </w:rPr>
        <w:t>培养方案</w:t>
      </w:r>
      <w:bookmarkEnd w:id="0"/>
    </w:p>
    <w:p>
      <w:r>
        <w:rPr>
          <w:rFonts w:hint="eastAsia"/>
        </w:rPr>
        <w:t xml:space="preserve"> </w:t>
      </w:r>
      <w:r>
        <w:t xml:space="preserve">                             </w:t>
      </w:r>
    </w:p>
    <w:p>
      <w:pPr>
        <w:jc w:val="center"/>
        <w:rPr>
          <w:rFonts w:hint="eastAsia" w:eastAsia="宋体"/>
          <w:lang w:val="en-US" w:eastAsia="zh-CN"/>
        </w:rPr>
      </w:pPr>
      <w:r>
        <w:rPr>
          <w:rFonts w:hint="eastAsia"/>
          <w:lang w:val="en-US" w:eastAsia="zh-CN"/>
        </w:rPr>
        <w:t>数学科学</w:t>
      </w:r>
      <w:r>
        <w:rPr>
          <w:rFonts w:hint="eastAsia"/>
        </w:rPr>
        <w:t>学院-2</w:t>
      </w:r>
      <w:r>
        <w:t>02</w:t>
      </w:r>
      <w:r>
        <w:rPr>
          <w:rFonts w:hint="eastAsia"/>
        </w:rPr>
        <w:t>5级-</w:t>
      </w:r>
      <w:r>
        <w:rPr>
          <w:rFonts w:hint="eastAsia"/>
          <w:lang w:val="en-US" w:eastAsia="zh-CN"/>
        </w:rPr>
        <w:t>数学</w:t>
      </w:r>
    </w:p>
    <w:p>
      <w:pPr>
        <w:pStyle w:val="3"/>
        <w:rPr>
          <w:color w:val="auto"/>
        </w:rPr>
      </w:pPr>
    </w:p>
    <w:p>
      <w:pPr>
        <w:pStyle w:val="3"/>
        <w:rPr>
          <w:color w:val="auto"/>
        </w:rPr>
      </w:pPr>
      <w:r>
        <w:rPr>
          <w:rFonts w:hint="eastAsia"/>
          <w:color w:val="auto"/>
        </w:rPr>
        <w:t>一、</w:t>
      </w:r>
      <w:r>
        <w:rPr>
          <w:color w:val="auto"/>
        </w:rPr>
        <w:t>指导思想</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为贯彻党的二十届三中全会和全国教育大会精神，</w:t>
      </w:r>
      <w:r>
        <w:rPr>
          <w:rFonts w:cs="Times New Roman"/>
          <w:sz w:val="28"/>
          <w:szCs w:val="28"/>
        </w:rPr>
        <w:t>落实《教育强国建设规划纲要（2024—2035年）》和《中共中央国务院关于弘扬教育家精神加强新时代高素质专业化教师队伍建设的意见》</w:t>
      </w:r>
      <w:r>
        <w:rPr>
          <w:rFonts w:hint="eastAsia" w:cs="Times New Roman"/>
          <w:sz w:val="28"/>
          <w:szCs w:val="28"/>
        </w:rPr>
        <w:t>，</w:t>
      </w:r>
      <w:r>
        <w:rPr>
          <w:rFonts w:cs="Times New Roman"/>
          <w:sz w:val="28"/>
          <w:szCs w:val="28"/>
        </w:rPr>
        <w:t>以习近平新时代中国特色社会主义思想为指导，全面贯彻党的教育方针，</w:t>
      </w:r>
      <w:r>
        <w:rPr>
          <w:rFonts w:hint="eastAsia" w:cs="Times New Roman"/>
          <w:sz w:val="28"/>
          <w:szCs w:val="28"/>
        </w:rPr>
        <w:t>以建设教育强国为己任，</w:t>
      </w:r>
      <w:r>
        <w:rPr>
          <w:rFonts w:cs="Times New Roman"/>
          <w:sz w:val="28"/>
          <w:szCs w:val="28"/>
        </w:rPr>
        <w:t>以立德树人、服务需求、提高质量、追求卓越为主线，</w:t>
      </w:r>
      <w:r>
        <w:rPr>
          <w:rFonts w:hint="eastAsia" w:cs="Times New Roman"/>
          <w:sz w:val="28"/>
          <w:szCs w:val="28"/>
        </w:rPr>
        <w:t>以教育家精神为引领，</w:t>
      </w:r>
      <w:r>
        <w:rPr>
          <w:rFonts w:cs="Times New Roman"/>
          <w:sz w:val="28"/>
          <w:szCs w:val="28"/>
        </w:rPr>
        <w:t>践行学校“育人、文明、发展”三大使命，按照世界一流卓越育人标准，通过开展</w:t>
      </w:r>
      <w:r>
        <w:rPr>
          <w:rFonts w:hint="eastAsia"/>
          <w:sz w:val="28"/>
          <w:szCs w:val="28"/>
        </w:rPr>
        <w:t>思维导向的通识教育、前沿导向的专业教育、研究导向的教师教育、英才导向的智能教育</w:t>
      </w:r>
      <w:r>
        <w:rPr>
          <w:rFonts w:cs="Times New Roman"/>
          <w:sz w:val="28"/>
          <w:szCs w:val="28"/>
        </w:rPr>
        <w:t>，</w:t>
      </w:r>
      <w:r>
        <w:rPr>
          <w:rFonts w:hint="eastAsia" w:cs="Times New Roman"/>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Pr>
          <w:rFonts w:cs="Times New Roman"/>
          <w:sz w:val="28"/>
          <w:szCs w:val="28"/>
        </w:rPr>
        <w:t>高素质专业</w:t>
      </w:r>
      <w:r>
        <w:rPr>
          <w:rFonts w:hint="eastAsia" w:cs="Times New Roman"/>
          <w:sz w:val="28"/>
          <w:szCs w:val="28"/>
        </w:rPr>
        <w:t>化专家型</w:t>
      </w:r>
      <w:r>
        <w:rPr>
          <w:rFonts w:cs="Times New Roman"/>
          <w:sz w:val="28"/>
          <w:szCs w:val="28"/>
        </w:rPr>
        <w:t>卓越教师。</w:t>
      </w:r>
    </w:p>
    <w:p>
      <w:pPr>
        <w:pStyle w:val="3"/>
        <w:rPr>
          <w:color w:val="auto"/>
        </w:rPr>
      </w:pPr>
      <w:r>
        <w:rPr>
          <w:rFonts w:hint="eastAsia"/>
          <w:color w:val="auto"/>
        </w:rPr>
        <w:t>二、</w:t>
      </w:r>
      <w:r>
        <w:rPr>
          <w:color w:val="auto"/>
        </w:rPr>
        <w:t>培养目标</w:t>
      </w:r>
      <w:r>
        <w:rPr>
          <w:rFonts w:hint="eastAsia"/>
          <w:color w:val="auto"/>
        </w:rPr>
        <w:t>和毕业要求</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培养有理想信念、有道德情操、有扎实学识、有仁爱之心、教学技能出色、擅长教育研究、具有跨学科和国际视野、践行教育家精神的基础教育专家型卓越教师。具体</w:t>
      </w:r>
      <w:r>
        <w:rPr>
          <w:rFonts w:cs="Times New Roman"/>
          <w:sz w:val="28"/>
          <w:szCs w:val="28"/>
        </w:rPr>
        <w:t>要求为</w:t>
      </w:r>
      <w:r>
        <w:rPr>
          <w:rFonts w:hint="eastAsia" w:cs="Times New Roman"/>
          <w:sz w:val="28"/>
          <w:szCs w:val="28"/>
        </w:rPr>
        <w:t>：</w:t>
      </w:r>
    </w:p>
    <w:p>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（一）</w:t>
      </w:r>
      <w:r>
        <w:rPr>
          <w:rFonts w:hint="eastAsia" w:cs="Times New Roman"/>
          <w:b/>
          <w:bCs/>
          <w:sz w:val="28"/>
          <w:szCs w:val="28"/>
        </w:rPr>
        <w:t>情怀深厚。</w:t>
      </w:r>
      <w:r>
        <w:rPr>
          <w:rFonts w:cs="Times New Roman"/>
          <w:sz w:val="28"/>
          <w:szCs w:val="28"/>
        </w:rPr>
        <w:t>热爱祖国，</w:t>
      </w:r>
      <w:r>
        <w:rPr>
          <w:rFonts w:hint="eastAsia" w:cs="Times New Roman"/>
          <w:sz w:val="28"/>
          <w:szCs w:val="28"/>
        </w:rPr>
        <w:t>忠于党的教育事业</w:t>
      </w:r>
      <w:r>
        <w:rPr>
          <w:rFonts w:cs="Times New Roman"/>
          <w:sz w:val="28"/>
          <w:szCs w:val="28"/>
        </w:rPr>
        <w:t>，牢记为党育人、为国育才的初心使命，以教育强国为</w:t>
      </w:r>
      <w:r>
        <w:rPr>
          <w:rFonts w:hint="eastAsia" w:cs="Times New Roman"/>
          <w:sz w:val="28"/>
          <w:szCs w:val="28"/>
        </w:rPr>
        <w:t>追求，以立德树人为</w:t>
      </w:r>
      <w:r>
        <w:rPr>
          <w:rFonts w:cs="Times New Roman"/>
          <w:sz w:val="28"/>
          <w:szCs w:val="28"/>
        </w:rPr>
        <w:t>己任，以教育家为榜样，以德立身、以德立学</w:t>
      </w:r>
      <w:r>
        <w:rPr>
          <w:rFonts w:hint="eastAsia" w:cs="Times New Roman"/>
          <w:sz w:val="28"/>
          <w:szCs w:val="28"/>
        </w:rPr>
        <w:t>、以德立教，厚植教育情怀，强化师德修养</w:t>
      </w:r>
      <w:r>
        <w:rPr>
          <w:rFonts w:cs="Times New Roman"/>
          <w:sz w:val="28"/>
          <w:szCs w:val="28"/>
        </w:rPr>
        <w:t>。</w:t>
      </w:r>
    </w:p>
    <w:p>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（二）</w:t>
      </w:r>
      <w:r>
        <w:rPr>
          <w:rFonts w:hint="eastAsia" w:cs="Times New Roman"/>
          <w:b/>
          <w:bCs/>
          <w:sz w:val="28"/>
          <w:szCs w:val="28"/>
        </w:rPr>
        <w:t>专业扎实。</w:t>
      </w:r>
      <w:r>
        <w:rPr>
          <w:rFonts w:hint="eastAsia" w:cs="Times New Roman"/>
          <w:sz w:val="28"/>
          <w:szCs w:val="28"/>
        </w:rPr>
        <w:t>具备出色的专业基础，掌握学科专业的基本知识、基本原理和发展前沿，具有敏锐的创造性思维和批判性思维、</w:t>
      </w:r>
      <w:r>
        <w:rPr>
          <w:rFonts w:cs="Times New Roman"/>
          <w:sz w:val="28"/>
          <w:szCs w:val="28"/>
        </w:rPr>
        <w:t>宽阔的学科视野</w:t>
      </w:r>
      <w:r>
        <w:rPr>
          <w:rFonts w:hint="eastAsia" w:cs="Times New Roman"/>
          <w:sz w:val="28"/>
          <w:szCs w:val="28"/>
        </w:rPr>
        <w:t>和世界眼光。</w:t>
      </w:r>
    </w:p>
    <w:p>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（三）</w:t>
      </w:r>
      <w:r>
        <w:rPr>
          <w:rFonts w:hint="eastAsia" w:cs="Times New Roman"/>
          <w:b/>
          <w:bCs/>
          <w:sz w:val="28"/>
          <w:szCs w:val="28"/>
        </w:rPr>
        <w:t>实践过硬</w:t>
      </w:r>
      <w:r>
        <w:rPr>
          <w:rFonts w:cs="Times New Roman"/>
          <w:b/>
          <w:bCs/>
          <w:sz w:val="28"/>
          <w:szCs w:val="28"/>
        </w:rPr>
        <w:t>。</w:t>
      </w:r>
      <w:r>
        <w:rPr>
          <w:rFonts w:cs="Times New Roman"/>
          <w:sz w:val="28"/>
          <w:szCs w:val="28"/>
        </w:rPr>
        <w:t>具有</w:t>
      </w:r>
      <w:r>
        <w:rPr>
          <w:rFonts w:hint="eastAsia" w:cs="Times New Roman"/>
          <w:sz w:val="28"/>
          <w:szCs w:val="28"/>
        </w:rPr>
        <w:t>扎实</w:t>
      </w:r>
      <w:r>
        <w:rPr>
          <w:rFonts w:cs="Times New Roman"/>
          <w:sz w:val="28"/>
          <w:szCs w:val="28"/>
        </w:rPr>
        <w:t>的教育实践能力和良好的数字素养，掌握基础教育课程教学改革前沿，</w:t>
      </w:r>
      <w:r>
        <w:rPr>
          <w:rFonts w:hint="eastAsia" w:cs="Times New Roman"/>
          <w:sz w:val="28"/>
          <w:szCs w:val="28"/>
        </w:rPr>
        <w:t>能够设计并实施高质量的教学活动，有效引导学生学习，</w:t>
      </w:r>
      <w:r>
        <w:rPr>
          <w:rFonts w:cs="Times New Roman"/>
          <w:sz w:val="28"/>
          <w:szCs w:val="28"/>
        </w:rPr>
        <w:t>胜任班级管理和学校其他教育教学工作。</w:t>
      </w:r>
      <w:r>
        <w:rPr>
          <w:rFonts w:hint="eastAsia" w:cs="Times New Roman"/>
          <w:sz w:val="28"/>
          <w:szCs w:val="28"/>
        </w:rPr>
        <w:t>能够不断反思和改进教育教学实践，探索教育教学的新理念和新方法。</w:t>
      </w:r>
    </w:p>
    <w:p>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（四）</w:t>
      </w:r>
      <w:r>
        <w:rPr>
          <w:rFonts w:hint="eastAsia" w:cs="Times New Roman"/>
          <w:b/>
          <w:bCs/>
          <w:sz w:val="28"/>
          <w:szCs w:val="28"/>
        </w:rPr>
        <w:t>研究卓越。</w:t>
      </w:r>
      <w:r>
        <w:rPr>
          <w:rFonts w:cs="Times New Roman"/>
          <w:sz w:val="28"/>
          <w:szCs w:val="28"/>
        </w:rPr>
        <w:t>具有</w:t>
      </w:r>
      <w:r>
        <w:rPr>
          <w:rFonts w:hint="eastAsia" w:cs="Times New Roman"/>
          <w:sz w:val="28"/>
          <w:szCs w:val="28"/>
        </w:rPr>
        <w:t>优秀的</w:t>
      </w:r>
      <w:r>
        <w:rPr>
          <w:rFonts w:cs="Times New Roman"/>
          <w:sz w:val="28"/>
          <w:szCs w:val="28"/>
        </w:rPr>
        <w:t>科研能力，能在</w:t>
      </w:r>
      <w:r>
        <w:rPr>
          <w:rFonts w:hint="eastAsia" w:cs="Times New Roman"/>
          <w:sz w:val="28"/>
          <w:szCs w:val="28"/>
        </w:rPr>
        <w:t>教育</w:t>
      </w:r>
      <w:r>
        <w:rPr>
          <w:rFonts w:cs="Times New Roman"/>
          <w:sz w:val="28"/>
          <w:szCs w:val="28"/>
        </w:rPr>
        <w:t>教学实践中发现和提出问题、分析和解决问题，能针对</w:t>
      </w:r>
      <w:r>
        <w:rPr>
          <w:rFonts w:hint="eastAsia" w:cs="Times New Roman"/>
          <w:sz w:val="28"/>
          <w:szCs w:val="28"/>
        </w:rPr>
        <w:t>学科前沿和</w:t>
      </w:r>
      <w:r>
        <w:rPr>
          <w:rFonts w:cs="Times New Roman"/>
          <w:sz w:val="28"/>
          <w:szCs w:val="28"/>
        </w:rPr>
        <w:t>课程教学改革开展研究，不断推动自身的</w:t>
      </w:r>
      <w:r>
        <w:rPr>
          <w:rFonts w:hint="eastAsia" w:cs="Times New Roman"/>
          <w:sz w:val="28"/>
          <w:szCs w:val="28"/>
        </w:rPr>
        <w:t>可持续</w:t>
      </w:r>
      <w:r>
        <w:rPr>
          <w:rFonts w:cs="Times New Roman"/>
          <w:sz w:val="28"/>
          <w:szCs w:val="28"/>
        </w:rPr>
        <w:t>专业发展。</w:t>
      </w:r>
    </w:p>
    <w:p>
      <w:pPr>
        <w:spacing w:line="276" w:lineRule="auto"/>
        <w:ind w:firstLine="562" w:firstLineChars="200"/>
        <w:rPr>
          <w:rFonts w:cs="Times New Roman"/>
          <w:color w:val="000000" w:themeColor="text1"/>
          <w:sz w:val="28"/>
          <w:szCs w:val="28"/>
          <w14:textFill>
            <w14:solidFill>
              <w14:schemeClr w14:val="tx1"/>
            </w14:solidFill>
          </w14:textFill>
        </w:rPr>
      </w:pPr>
      <w:r>
        <w:rPr>
          <w:rFonts w:hint="eastAsia" w:cs="Times New Roman"/>
          <w:b/>
          <w:bCs/>
          <w:color w:val="000000" w:themeColor="text1"/>
          <w:sz w:val="28"/>
          <w:szCs w:val="28"/>
          <w14:textFill>
            <w14:solidFill>
              <w14:schemeClr w14:val="tx1"/>
            </w14:solidFill>
          </w14:textFill>
        </w:rPr>
        <w:t>本专业培养目标</w:t>
      </w:r>
      <w:r>
        <w:rPr>
          <w:rFonts w:hint="eastAsia" w:cs="Times New Roman"/>
          <w:color w:val="000000" w:themeColor="text1"/>
          <w:sz w:val="28"/>
          <w:szCs w:val="28"/>
          <w14:textFill>
            <w14:solidFill>
              <w14:schemeClr w14:val="tx1"/>
            </w14:solidFill>
          </w14:textFill>
        </w:rPr>
        <w:t>：本专业以卓越育人为目标，适应新时代师范生教育高质量发展的要求，通过专业教育和养成教育的深度融合，培养能适应新时代中学数学教育教学发展需求，明于师德，具有高尚的师德情操和出众的师范气质；精于教学，具备厚实的数学专业素养和教育理论基础；敏于发展，具有突出的反思精神、创新意识和较强研究能力；善于思考，具有宽广的国际视野、终身学习的自觉意识；毕业后成为具有自我发展能力的创新型数学基础教育人才，成为服务与引领国家数学基础教育改革和发展的卓越中学数学教师。</w:t>
      </w:r>
    </w:p>
    <w:p>
      <w:pPr>
        <w:spacing w:line="276" w:lineRule="auto"/>
        <w:ind w:firstLine="560" w:firstLineChars="200"/>
        <w:rPr>
          <w:rFonts w:cs="Times New Roman"/>
          <w:color w:val="000000" w:themeColor="text1"/>
          <w:sz w:val="28"/>
          <w:szCs w:val="28"/>
          <w14:textFill>
            <w14:solidFill>
              <w14:schemeClr w14:val="tx1"/>
            </w14:solidFill>
          </w14:textFill>
        </w:rPr>
      </w:pPr>
      <w:r>
        <w:rPr>
          <w:rFonts w:hint="eastAsia" w:cs="Times New Roman"/>
          <w:color w:val="000000" w:themeColor="text1"/>
          <w:sz w:val="28"/>
          <w:szCs w:val="28"/>
          <w14:textFill>
            <w14:solidFill>
              <w14:schemeClr w14:val="tx1"/>
            </w14:solidFill>
          </w14:textFill>
        </w:rPr>
        <w:t>根据中学教师专业标准与新时代国家发展需求，结合本专业培养目标，制定本专业师范生经过四年专业学习与技能训练后所应达到的毕业要求如下：</w:t>
      </w:r>
    </w:p>
    <w:p>
      <w:pPr>
        <w:rPr>
          <w:color w:val="000000" w:themeColor="text1"/>
          <w14:textFill>
            <w14:solidFill>
              <w14:schemeClr w14:val="tx1"/>
            </w14:solidFill>
          </w14:textFill>
        </w:rPr>
      </w:pPr>
    </w:p>
    <w:tbl>
      <w:tblPr>
        <w:tblStyle w:val="13"/>
        <w:tblW w:w="10290"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15" w:type="dxa"/>
          <w:left w:w="15" w:type="dxa"/>
          <w:bottom w:w="15" w:type="dxa"/>
          <w:right w:w="15" w:type="dxa"/>
        </w:tblCellMar>
      </w:tblPr>
      <w:tblGrid>
        <w:gridCol w:w="4424"/>
        <w:gridCol w:w="586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18" w:hRule="atLeast"/>
          <w:jc w:val="center"/>
        </w:trPr>
        <w:tc>
          <w:tcPr>
            <w:tcW w:w="4421"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center"/>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本专业毕业要求</w:t>
            </w:r>
          </w:p>
        </w:tc>
        <w:tc>
          <w:tcPr>
            <w:tcW w:w="5863" w:type="dxa"/>
            <w:tcBorders>
              <w:top w:val="outset" w:color="auto" w:sz="6" w:space="0"/>
              <w:left w:val="outset" w:color="auto" w:sz="6" w:space="0"/>
              <w:bottom w:val="outset" w:color="auto" w:sz="6" w:space="0"/>
              <w:right w:val="outset" w:color="auto" w:sz="6" w:space="0"/>
            </w:tcBorders>
            <w:shd w:val="clear" w:color="auto" w:fill="auto"/>
            <w:vAlign w:val="center"/>
          </w:tcPr>
          <w:p>
            <w:pPr>
              <w:spacing w:before="100" w:beforeAutospacing="1" w:after="100" w:afterAutospacing="1" w:line="322" w:lineRule="atLeast"/>
              <w:jc w:val="center"/>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毕业要求指标点</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57"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1.师德规范：</w:t>
            </w:r>
            <w:r>
              <w:rPr>
                <w:rFonts w:hint="eastAsia"/>
                <w:color w:val="000000" w:themeColor="text1"/>
                <w:sz w:val="21"/>
                <w:szCs w:val="21"/>
                <w14:textFill>
                  <w14:solidFill>
                    <w14:schemeClr w14:val="tx1"/>
                  </w14:solidFill>
                </w14:textFill>
              </w:rPr>
              <w:t>贯彻党的教育方针，以立德树人为己任，遵守教师职业道德规范，依法执教，践行社会主义核心价值观，立志做敬业爱岗的“四有”好老师。</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1-1 理解和认同中国特色社会主义，理解和践行社会主义核心价值观。</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39"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1-2 贯彻党的教育方针，以立德树人为根本任务，能依法执教。</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48"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1-3 遵守中小学教师职业道德规范，做有理想信念、有道德情操、有扎实学识、有仁爱之心的老师。</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76"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2.教育情怀：</w:t>
            </w:r>
            <w:r>
              <w:rPr>
                <w:rFonts w:hint="eastAsia"/>
                <w:color w:val="000000" w:themeColor="text1"/>
                <w:sz w:val="21"/>
                <w:szCs w:val="21"/>
                <w14:textFill>
                  <w14:solidFill>
                    <w14:schemeClr w14:val="tx1"/>
                  </w14:solidFill>
                </w14:textFill>
              </w:rPr>
              <w:t>对教师职业的意义和价值有积极的认识和评价，富有爱心、责任心和事业心，尊重学生人格，树立正确的教师观和学生观，立志做学生成长的引路人。</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2-1 热爱教育事业，具有正确的价值观、教师观、学生观和积极的教育教学情怀。</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05"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2-2 具有良好的人文底蕴和科学素养。</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40"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2-3 能尊重学生，富有爱心、耐心、责任心，做学生成长引路人。</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30"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3. 知识整合：</w:t>
            </w:r>
            <w:r>
              <w:rPr>
                <w:rFonts w:hint="eastAsia"/>
                <w:color w:val="000000" w:themeColor="text1"/>
                <w:sz w:val="21"/>
                <w:szCs w:val="21"/>
                <w14:textFill>
                  <w14:solidFill>
                    <w14:schemeClr w14:val="tx1"/>
                  </w14:solidFill>
                </w14:textFill>
              </w:rPr>
              <w:t>理解和扎实掌握数学学科知识体系和数学核心素养内涵，了解跨学科知识；以学习科学知识为基础，整合学科知识和教学知识，形成数学教学知识；初步习得基于核心素养的学习指导方法和策略。</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3-1 扎实掌握数学学科的知识体系，理解数学基本思想和方法，理解和掌握数学核心素养内涵。</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3-2 了解跨学科知识。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39"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3-3 以学习科学知识为基础，整合学科知识和教学知识，形成数学教学知识。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39"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3-4 初步习得基于核心素养的学习指导方法和策略。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4.教学能力：具有良好的数学教学能力，能创设以学生为中心的数学学习环境，促进学生的发展；能针对教学实践中的难点问题，进行基于实际课堂教学的研究，改进教学。</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4-1 能根据具体教学内容和学生情况制定教学目标和教学计划，合理利用教学资源和方法设计以学生为中心的教学过程。</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52"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4-2 能够依据数学课程标准和学生特点，实施和评价数学课堂教学。</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55"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4-3 针对教学实践中的难点问题，能运用研究手段，形成研究结果，改进教学。</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71"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5. 技术融合：初步掌握应用现代信息技术，优化中学数学课堂教学的方法技能，具有运用信息技术支持数学学习设计和转变学生学习方式的经验。</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5-1 学会与数学教学相关的信息技术使用方法和技能。</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71"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rFonts w:cs="Calibri"/>
                <w:color w:val="000000" w:themeColor="text1"/>
                <w:sz w:val="21"/>
                <w:szCs w:val="21"/>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5-2 能有效运用信息技术进行数学课堂教学，支持学生学习，具有转变学生学习方式的初步经验。</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1014"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6.班级指导：树立德育为先理念，了解中学德育和学生心理发展的原理与方法，掌握班级组织与建设的技能与方法，掌握与学生、家长及社区沟通的工作要点，具备一定的班级指导能力和班主任工作的有效体验。</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6-1 树立德育为先理念，熟悉中学德育的目标、原理、内容与方法，掌握与学生、家长及社区沟通的常规工作要点。</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71"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6-2 了解中学生的心理特征，掌握班集体建设与管理的基本方法和技能，具备一定的班级指导能力和班主任工作的有效体验，能通过团体活动、个别辅导等方式指导学生心理健康发展。</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925"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7.综合育人：坚持综合育人基本理念，理解数学学科的育人价值和校园文化活动的价值，能够有意识地将知识学习、能力发展与品德养成相结合，具有综合育人的实践体验。</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7-1 理解数学学科的育人价值，能够有意识地通过数学课堂教学或数学文化活动培养学生的理性精神。</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925"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7-2 理解校园文化活动的价值，能够借助主题教育、社团活动对学生进行有效引导，具有综合育人的实践体验。</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38"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8. 自主学习：具有终身学习和专业发展意识，能制定专业学习和职业发展规划，不断提高自身数学素养和数学教育教学的能力；养成自主学习习惯，具有自我管理能力。</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8-1 理解终身学习和专业发展的重要性和必要性，掌握专业发展核心内容和发展阶段路径。</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18"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8-2 能结合自身实际情况和发展需要，制定和实施合理的学习计划和专业发展规划，具有自主学习习惯和自我管理能力。</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94"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9. 国际视野：主动了解国外基础教育改革发展的趋势和前沿动态，具有数学与教育研究国际交流的初步体验，能尝试借鉴国际先进教育理念和经验进行教育教学。</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9-1 了解国内外基础教育改革发展趋势和动态，具有数学与教育研究国际交流的初步体验。</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18"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9-2 能尝试借鉴国际先进教育理念和经验进行教育教学。</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1072"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rFonts w:cs="Calibri"/>
                <w:color w:val="000000" w:themeColor="text1"/>
                <w:sz w:val="21"/>
                <w:szCs w:val="21"/>
                <w14:textFill>
                  <w14:solidFill>
                    <w14:schemeClr w14:val="tx1"/>
                  </w14:solidFill>
                </w14:textFill>
              </w:rPr>
            </w:pPr>
            <w:r>
              <w:rPr>
                <w:rFonts w:hint="eastAsia" w:cs="Calibri"/>
                <w:color w:val="000000" w:themeColor="text1"/>
                <w:sz w:val="21"/>
                <w:szCs w:val="21"/>
                <w14:textFill>
                  <w14:solidFill>
                    <w14:schemeClr w14:val="tx1"/>
                  </w14:solidFill>
                </w14:textFill>
              </w:rPr>
              <w:t>10.反思研究：掌握反思方法和技能，具有一定的创新意识，学会分析和解决教育和数学教学中出现的问题，掌握教育实践研究的方法，能指导中学生开展适合的科研活动。</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10-1 掌握反思方法和技能，能从不同角度反思、诊断和改进自身的数学教学实践，具有积极的教学反思体验。</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771"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10-2 掌握教育实践研究的方法，能指导学生开展适合的科研活动。</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1010" w:hRule="atLeast"/>
          <w:jc w:val="center"/>
        </w:trPr>
        <w:tc>
          <w:tcPr>
            <w:tcW w:w="4421" w:type="dxa"/>
            <w:vMerge w:val="restart"/>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11.交流合作：理解学习共同体的重要意义，具有团队协作意识，掌握沟通合作的方法和技能，积极开展小组互助和合作学习。</w:t>
            </w: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11-1 理解学习共同体的特点与价值，具有团队协作精神，能在教学实践中参与各种形式的研讨与合作。</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rPr>
                <w:color w:val="000000" w:themeColor="text1"/>
                <w:sz w:val="23"/>
                <w:szCs w:val="23"/>
                <w14:textFill>
                  <w14:solidFill>
                    <w14:schemeClr w14:val="tx1"/>
                  </w14:solidFill>
                </w14:textFill>
              </w:rPr>
            </w:pPr>
          </w:p>
        </w:tc>
        <w:tc>
          <w:tcPr>
            <w:tcW w:w="5863" w:type="dxa"/>
            <w:tcBorders>
              <w:top w:val="outset" w:color="auto" w:sz="6" w:space="0"/>
              <w:left w:val="outset" w:color="auto" w:sz="6" w:space="0"/>
              <w:bottom w:val="outset" w:color="auto" w:sz="6" w:space="0"/>
              <w:right w:val="outset" w:color="auto" w:sz="6" w:space="0"/>
            </w:tcBorders>
            <w:shd w:val="clear" w:color="auto" w:fill="auto"/>
          </w:tcPr>
          <w:p>
            <w:pPr>
              <w:spacing w:before="100" w:beforeAutospacing="1" w:after="100" w:afterAutospacing="1" w:line="322" w:lineRule="atLeast"/>
              <w:jc w:val="both"/>
              <w:rPr>
                <w:color w:val="000000" w:themeColor="text1"/>
                <w:sz w:val="23"/>
                <w:szCs w:val="23"/>
                <w14:textFill>
                  <w14:solidFill>
                    <w14:schemeClr w14:val="tx1"/>
                  </w14:solidFill>
                </w14:textFill>
              </w:rPr>
            </w:pPr>
            <w:r>
              <w:rPr>
                <w:rFonts w:hint="eastAsia" w:cs="Calibri"/>
                <w:color w:val="000000" w:themeColor="text1"/>
                <w:sz w:val="21"/>
                <w:szCs w:val="21"/>
                <w14:textFill>
                  <w14:solidFill>
                    <w14:schemeClr w14:val="tx1"/>
                  </w14:solidFill>
                </w14:textFill>
              </w:rPr>
              <w:t>11-2 具备与学校领导、同事、学生、家长及社区等方面沟通交流的知识与技能，具有相关体验。</w:t>
            </w:r>
          </w:p>
        </w:tc>
      </w:tr>
    </w:tbl>
    <w:p>
      <w:pPr>
        <w:adjustRightInd w:val="0"/>
        <w:snapToGrid w:val="0"/>
        <w:spacing w:before="120" w:beforeLines="50" w:line="440" w:lineRule="exact"/>
        <w:ind w:firstLine="560" w:firstLineChars="200"/>
        <w:jc w:val="both"/>
        <w:rPr>
          <w:rFonts w:cs="Times New Roman"/>
          <w:sz w:val="28"/>
          <w:szCs w:val="28"/>
        </w:rPr>
      </w:pPr>
    </w:p>
    <w:p>
      <w:pPr>
        <w:pStyle w:val="3"/>
        <w:rPr>
          <w:color w:val="auto"/>
        </w:rPr>
      </w:pPr>
      <w:r>
        <w:rPr>
          <w:rFonts w:hint="eastAsia"/>
          <w:color w:val="auto"/>
        </w:rPr>
        <w:t>三、课程设置</w:t>
      </w:r>
    </w:p>
    <w:p>
      <w:pPr>
        <w:pStyle w:val="4"/>
        <w:rPr>
          <w:color w:val="auto"/>
        </w:rPr>
      </w:pPr>
      <w:r>
        <w:rPr>
          <w:rFonts w:hint="eastAsia"/>
          <w:color w:val="auto"/>
        </w:rPr>
        <w:t>（一）</w:t>
      </w:r>
      <w:r>
        <w:rPr>
          <w:color w:val="auto"/>
        </w:rPr>
        <w:t>课程</w:t>
      </w:r>
      <w:r>
        <w:rPr>
          <w:rFonts w:hint="eastAsia"/>
          <w:color w:val="auto"/>
        </w:rPr>
        <w:t>类别与</w:t>
      </w:r>
      <w:r>
        <w:rPr>
          <w:color w:val="auto"/>
        </w:rPr>
        <w:t>学分</w:t>
      </w:r>
    </w:p>
    <w:p>
      <w:pPr>
        <w:spacing w:line="440" w:lineRule="exact"/>
        <w:ind w:firstLine="560" w:firstLineChars="200"/>
        <w:rPr>
          <w:rFonts w:cs="Times New Roman"/>
          <w:color w:val="4472C4" w:themeColor="accent1"/>
          <w:sz w:val="28"/>
          <w:szCs w:val="28"/>
          <w14:textFill>
            <w14:solidFill>
              <w14:schemeClr w14:val="accent1"/>
            </w14:solidFill>
          </w14:textFill>
        </w:rPr>
      </w:pPr>
      <w:r>
        <w:rPr>
          <w:rFonts w:hint="eastAsia" w:cs="Times New Roman"/>
          <w:color w:val="4472C4" w:themeColor="accent1"/>
          <w:sz w:val="28"/>
          <w:szCs w:val="28"/>
          <w14:textFill>
            <w14:solidFill>
              <w14:schemeClr w14:val="accent1"/>
            </w14:solidFill>
          </w14:textFill>
        </w:rPr>
        <w:t>1</w:t>
      </w:r>
      <w:r>
        <w:rPr>
          <w:rFonts w:cs="Times New Roman"/>
          <w:color w:val="4472C4" w:themeColor="accent1"/>
          <w:sz w:val="28"/>
          <w:szCs w:val="28"/>
          <w14:textFill>
            <w14:solidFill>
              <w14:schemeClr w14:val="accent1"/>
            </w14:solidFill>
          </w14:textFill>
        </w:rPr>
        <w:t>.</w:t>
      </w:r>
      <w:r>
        <w:rPr>
          <w:rFonts w:hint="eastAsia" w:cs="Times New Roman"/>
          <w:color w:val="4472C4" w:themeColor="accent1"/>
          <w:sz w:val="28"/>
          <w:szCs w:val="28"/>
          <w14:textFill>
            <w14:solidFill>
              <w14:schemeClr w14:val="accent1"/>
            </w14:solidFill>
          </w14:textFill>
        </w:rPr>
        <w:t>总学分：</w:t>
      </w:r>
      <w:r>
        <w:rPr>
          <w:rFonts w:hint="eastAsia" w:cs="Times New Roman"/>
          <w:color w:val="4472C4" w:themeColor="accent1"/>
          <w:sz w:val="28"/>
          <w:szCs w:val="28"/>
          <w:lang w:val="en-US" w:eastAsia="zh-CN"/>
          <w14:textFill>
            <w14:solidFill>
              <w14:schemeClr w14:val="accent1"/>
            </w14:solidFill>
          </w14:textFill>
        </w:rPr>
        <w:t>171</w:t>
      </w:r>
      <w:r>
        <w:rPr>
          <w:rFonts w:hint="eastAsia" w:cs="Times New Roman"/>
          <w:color w:val="4472C4" w:themeColor="accent1"/>
          <w:sz w:val="28"/>
          <w:szCs w:val="28"/>
          <w14:textFill>
            <w14:solidFill>
              <w14:schemeClr w14:val="accent1"/>
            </w14:solidFill>
          </w14:textFill>
        </w:rPr>
        <w:t>学分（不含毕业论文）。</w:t>
      </w:r>
    </w:p>
    <w:p>
      <w:pPr>
        <w:spacing w:line="440" w:lineRule="exact"/>
        <w:ind w:firstLine="560" w:firstLineChars="200"/>
        <w:rPr>
          <w:rFonts w:cs="Times New Roman"/>
          <w:color w:val="4472C4" w:themeColor="accent1"/>
          <w:sz w:val="28"/>
          <w:szCs w:val="28"/>
          <w14:textFill>
            <w14:solidFill>
              <w14:schemeClr w14:val="accent1"/>
            </w14:solidFill>
          </w14:textFill>
        </w:rPr>
      </w:pPr>
      <w:r>
        <w:rPr>
          <w:rFonts w:cs="Times New Roman"/>
          <w:color w:val="4472C4" w:themeColor="accent1"/>
          <w:sz w:val="28"/>
          <w:szCs w:val="28"/>
          <w14:textFill>
            <w14:solidFill>
              <w14:schemeClr w14:val="accent1"/>
            </w14:solidFill>
          </w14:textFill>
        </w:rPr>
        <w:t>2.</w:t>
      </w:r>
      <w:r>
        <w:rPr>
          <w:rFonts w:hint="eastAsia" w:cs="Times New Roman"/>
          <w:color w:val="4472C4" w:themeColor="accent1"/>
          <w:sz w:val="28"/>
          <w:szCs w:val="28"/>
          <w14:textFill>
            <w14:solidFill>
              <w14:schemeClr w14:val="accent1"/>
            </w14:solidFill>
          </w14:textFill>
        </w:rPr>
        <w:t>公共必修课程</w:t>
      </w:r>
      <w:r>
        <w:rPr>
          <w:rFonts w:hint="eastAsia" w:cs="Times New Roman"/>
          <w:color w:val="4472C4" w:themeColor="accent1"/>
          <w:sz w:val="28"/>
          <w:szCs w:val="28"/>
          <w:lang w:val="en-US" w:eastAsia="zh-CN"/>
          <w14:textFill>
            <w14:solidFill>
              <w14:schemeClr w14:val="accent1"/>
            </w14:solidFill>
          </w14:textFill>
        </w:rPr>
        <w:t>39</w:t>
      </w:r>
      <w:r>
        <w:rPr>
          <w:rFonts w:hint="eastAsia" w:cs="Times New Roman"/>
          <w:color w:val="4472C4" w:themeColor="accent1"/>
          <w:sz w:val="28"/>
          <w:szCs w:val="28"/>
          <w14:textFill>
            <w14:solidFill>
              <w14:schemeClr w14:val="accent1"/>
            </w14:solidFill>
          </w14:textFill>
        </w:rPr>
        <w:t>学分，占</w:t>
      </w:r>
      <w:r>
        <w:rPr>
          <w:rFonts w:hint="eastAsia" w:cs="Times New Roman"/>
          <w:color w:val="4472C4" w:themeColor="accent1"/>
          <w:sz w:val="28"/>
          <w:szCs w:val="28"/>
          <w:lang w:val="en-US" w:eastAsia="zh-CN"/>
          <w14:textFill>
            <w14:solidFill>
              <w14:schemeClr w14:val="accent1"/>
            </w14:solidFill>
          </w14:textFill>
        </w:rPr>
        <w:t>22.8</w:t>
      </w:r>
      <w:r>
        <w:rPr>
          <w:rFonts w:hint="eastAsia" w:cs="Times New Roman"/>
          <w:color w:val="4472C4" w:themeColor="accent1"/>
          <w:sz w:val="28"/>
          <w:szCs w:val="28"/>
          <w14:textFill>
            <w14:solidFill>
              <w14:schemeClr w14:val="accent1"/>
            </w14:solidFill>
          </w14:textFill>
        </w:rPr>
        <w:t>%。</w:t>
      </w:r>
    </w:p>
    <w:p>
      <w:pPr>
        <w:spacing w:line="440" w:lineRule="exact"/>
        <w:ind w:firstLine="560" w:firstLineChars="200"/>
        <w:rPr>
          <w:rFonts w:cs="Times New Roman"/>
          <w:color w:val="4472C4" w:themeColor="accent1"/>
          <w:sz w:val="28"/>
          <w:szCs w:val="28"/>
          <w14:textFill>
            <w14:solidFill>
              <w14:schemeClr w14:val="accent1"/>
            </w14:solidFill>
          </w14:textFill>
        </w:rPr>
      </w:pPr>
      <w:r>
        <w:rPr>
          <w:rFonts w:cs="Times New Roman"/>
          <w:color w:val="4472C4" w:themeColor="accent1"/>
          <w:sz w:val="28"/>
          <w:szCs w:val="28"/>
          <w14:textFill>
            <w14:solidFill>
              <w14:schemeClr w14:val="accent1"/>
            </w14:solidFill>
          </w14:textFill>
        </w:rPr>
        <w:t>3.</w:t>
      </w:r>
      <w:r>
        <w:rPr>
          <w:rFonts w:hint="eastAsia" w:cs="Times New Roman"/>
          <w:color w:val="4472C4" w:themeColor="accent1"/>
          <w:sz w:val="28"/>
          <w:szCs w:val="28"/>
          <w14:textFill>
            <w14:solidFill>
              <w14:schemeClr w14:val="accent1"/>
            </w14:solidFill>
          </w14:textFill>
        </w:rPr>
        <w:t>通识教育课程8学分，占</w:t>
      </w:r>
      <w:r>
        <w:rPr>
          <w:rFonts w:hint="eastAsia" w:cs="Times New Roman"/>
          <w:color w:val="4472C4" w:themeColor="accent1"/>
          <w:sz w:val="28"/>
          <w:szCs w:val="28"/>
          <w:lang w:val="en-US" w:eastAsia="zh-CN"/>
          <w14:textFill>
            <w14:solidFill>
              <w14:schemeClr w14:val="accent1"/>
            </w14:solidFill>
          </w14:textFill>
        </w:rPr>
        <w:t>4.7</w:t>
      </w:r>
      <w:r>
        <w:rPr>
          <w:rFonts w:hint="eastAsia" w:cs="Times New Roman"/>
          <w:color w:val="4472C4" w:themeColor="accent1"/>
          <w:sz w:val="28"/>
          <w:szCs w:val="28"/>
          <w14:textFill>
            <w14:solidFill>
              <w14:schemeClr w14:val="accent1"/>
            </w14:solidFill>
          </w14:textFill>
        </w:rPr>
        <w:t>%。</w:t>
      </w:r>
    </w:p>
    <w:p>
      <w:pPr>
        <w:spacing w:line="440" w:lineRule="exact"/>
        <w:ind w:firstLine="560" w:firstLineChars="200"/>
        <w:rPr>
          <w:rFonts w:cs="Times New Roman"/>
          <w:color w:val="4472C4" w:themeColor="accent1"/>
          <w:sz w:val="28"/>
          <w:szCs w:val="28"/>
          <w14:textFill>
            <w14:solidFill>
              <w14:schemeClr w14:val="accent1"/>
            </w14:solidFill>
          </w14:textFill>
        </w:rPr>
      </w:pPr>
      <w:r>
        <w:rPr>
          <w:rFonts w:hint="eastAsia" w:cs="Times New Roman"/>
          <w:color w:val="4472C4" w:themeColor="accent1"/>
          <w:sz w:val="28"/>
          <w:szCs w:val="28"/>
          <w14:textFill>
            <w14:solidFill>
              <w14:schemeClr w14:val="accent1"/>
            </w14:solidFill>
          </w14:textFill>
        </w:rPr>
        <w:t>4</w:t>
      </w:r>
      <w:r>
        <w:rPr>
          <w:rFonts w:cs="Times New Roman"/>
          <w:color w:val="4472C4" w:themeColor="accent1"/>
          <w:sz w:val="28"/>
          <w:szCs w:val="28"/>
          <w14:textFill>
            <w14:solidFill>
              <w14:schemeClr w14:val="accent1"/>
            </w14:solidFill>
          </w14:textFill>
        </w:rPr>
        <w:t>.</w:t>
      </w:r>
      <w:r>
        <w:rPr>
          <w:rFonts w:hint="eastAsia" w:cs="Times New Roman"/>
          <w:color w:val="4472C4" w:themeColor="accent1"/>
          <w:sz w:val="28"/>
          <w:szCs w:val="28"/>
          <w14:textFill>
            <w14:solidFill>
              <w14:schemeClr w14:val="accent1"/>
            </w14:solidFill>
          </w14:textFill>
        </w:rPr>
        <w:t>跨学科课程8</w:t>
      </w:r>
      <w:r>
        <w:rPr>
          <w:rFonts w:cs="Times New Roman"/>
          <w:color w:val="4472C4" w:themeColor="accent1"/>
          <w:sz w:val="28"/>
          <w:szCs w:val="28"/>
          <w14:textFill>
            <w14:solidFill>
              <w14:schemeClr w14:val="accent1"/>
            </w14:solidFill>
          </w14:textFill>
        </w:rPr>
        <w:t>学分</w:t>
      </w:r>
      <w:r>
        <w:rPr>
          <w:rFonts w:hint="eastAsia" w:cs="Times New Roman"/>
          <w:color w:val="4472C4" w:themeColor="accent1"/>
          <w:sz w:val="28"/>
          <w:szCs w:val="28"/>
          <w14:textFill>
            <w14:solidFill>
              <w14:schemeClr w14:val="accent1"/>
            </w14:solidFill>
          </w14:textFill>
        </w:rPr>
        <w:t>，占4</w:t>
      </w:r>
      <w:r>
        <w:rPr>
          <w:rFonts w:cs="Times New Roman"/>
          <w:color w:val="4472C4" w:themeColor="accent1"/>
          <w:sz w:val="28"/>
          <w:szCs w:val="28"/>
          <w14:textFill>
            <w14:solidFill>
              <w14:schemeClr w14:val="accent1"/>
            </w14:solidFill>
          </w14:textFill>
        </w:rPr>
        <w:t>.</w:t>
      </w:r>
      <w:r>
        <w:rPr>
          <w:rFonts w:hint="eastAsia" w:cs="Times New Roman"/>
          <w:color w:val="4472C4" w:themeColor="accent1"/>
          <w:sz w:val="28"/>
          <w:szCs w:val="28"/>
          <w:lang w:val="en-US" w:eastAsia="zh-CN"/>
          <w14:textFill>
            <w14:solidFill>
              <w14:schemeClr w14:val="accent1"/>
            </w14:solidFill>
          </w14:textFill>
        </w:rPr>
        <w:t>7</w:t>
      </w:r>
      <w:r>
        <w:rPr>
          <w:rFonts w:hint="eastAsia" w:cs="Times New Roman"/>
          <w:color w:val="4472C4" w:themeColor="accent1"/>
          <w:sz w:val="28"/>
          <w:szCs w:val="28"/>
          <w14:textFill>
            <w14:solidFill>
              <w14:schemeClr w14:val="accent1"/>
            </w14:solidFill>
          </w14:textFill>
        </w:rPr>
        <w:t>%。</w:t>
      </w:r>
    </w:p>
    <w:p>
      <w:pPr>
        <w:spacing w:line="440" w:lineRule="exact"/>
        <w:ind w:firstLine="560" w:firstLineChars="200"/>
        <w:rPr>
          <w:rFonts w:cs="Times New Roman"/>
          <w:color w:val="4472C4" w:themeColor="accent1"/>
          <w:sz w:val="28"/>
          <w:szCs w:val="28"/>
          <w14:textFill>
            <w14:solidFill>
              <w14:schemeClr w14:val="accent1"/>
            </w14:solidFill>
          </w14:textFill>
        </w:rPr>
      </w:pPr>
      <w:r>
        <w:rPr>
          <w:rFonts w:cs="Times New Roman"/>
          <w:color w:val="4472C4" w:themeColor="accent1"/>
          <w:sz w:val="28"/>
          <w:szCs w:val="28"/>
          <w14:textFill>
            <w14:solidFill>
              <w14:schemeClr w14:val="accent1"/>
            </w14:solidFill>
          </w14:textFill>
        </w:rPr>
        <w:t>5.</w:t>
      </w:r>
      <w:r>
        <w:rPr>
          <w:rFonts w:hint="eastAsia" w:cs="Times New Roman"/>
          <w:color w:val="4472C4" w:themeColor="accent1"/>
          <w:sz w:val="28"/>
          <w:szCs w:val="28"/>
          <w14:textFill>
            <w14:solidFill>
              <w14:schemeClr w14:val="accent1"/>
            </w14:solidFill>
          </w14:textFill>
        </w:rPr>
        <w:t>专业教育课程</w:t>
      </w:r>
      <w:r>
        <w:rPr>
          <w:rFonts w:hint="eastAsia" w:cs="Times New Roman"/>
          <w:color w:val="4472C4" w:themeColor="accent1"/>
          <w:sz w:val="28"/>
          <w:szCs w:val="28"/>
          <w:lang w:val="en-US" w:eastAsia="zh-CN"/>
          <w14:textFill>
            <w14:solidFill>
              <w14:schemeClr w14:val="accent1"/>
            </w14:solidFill>
          </w14:textFill>
        </w:rPr>
        <w:t>78</w:t>
      </w:r>
      <w:r>
        <w:rPr>
          <w:rFonts w:hint="eastAsia" w:cs="Times New Roman"/>
          <w:color w:val="4472C4" w:themeColor="accent1"/>
          <w:sz w:val="28"/>
          <w:szCs w:val="28"/>
          <w14:textFill>
            <w14:solidFill>
              <w14:schemeClr w14:val="accent1"/>
            </w14:solidFill>
          </w14:textFill>
        </w:rPr>
        <w:t>学分，占45</w:t>
      </w:r>
      <w:r>
        <w:rPr>
          <w:rFonts w:cs="Times New Roman"/>
          <w:color w:val="4472C4" w:themeColor="accent1"/>
          <w:sz w:val="28"/>
          <w:szCs w:val="28"/>
          <w14:textFill>
            <w14:solidFill>
              <w14:schemeClr w14:val="accent1"/>
            </w14:solidFill>
          </w14:textFill>
        </w:rPr>
        <w:t>.</w:t>
      </w:r>
      <w:r>
        <w:rPr>
          <w:rFonts w:hint="eastAsia" w:cs="Times New Roman"/>
          <w:color w:val="4472C4" w:themeColor="accent1"/>
          <w:sz w:val="28"/>
          <w:szCs w:val="28"/>
          <w:lang w:val="en-US" w:eastAsia="zh-CN"/>
          <w14:textFill>
            <w14:solidFill>
              <w14:schemeClr w14:val="accent1"/>
            </w14:solidFill>
          </w14:textFill>
        </w:rPr>
        <w:t>6</w:t>
      </w:r>
      <w:r>
        <w:rPr>
          <w:rFonts w:hint="eastAsia" w:cs="Times New Roman"/>
          <w:color w:val="4472C4" w:themeColor="accent1"/>
          <w:sz w:val="28"/>
          <w:szCs w:val="28"/>
          <w14:textFill>
            <w14:solidFill>
              <w14:schemeClr w14:val="accent1"/>
            </w14:solidFill>
          </w14:textFill>
        </w:rPr>
        <w:t>%。</w:t>
      </w:r>
    </w:p>
    <w:p>
      <w:pPr>
        <w:spacing w:line="440" w:lineRule="exact"/>
        <w:ind w:firstLine="560" w:firstLineChars="200"/>
        <w:rPr>
          <w:rFonts w:hint="eastAsia" w:cs="Times New Roman"/>
          <w:color w:val="4472C4" w:themeColor="accent1"/>
          <w:sz w:val="28"/>
          <w:szCs w:val="28"/>
          <w14:textFill>
            <w14:solidFill>
              <w14:schemeClr w14:val="accent1"/>
            </w14:solidFill>
          </w14:textFill>
        </w:rPr>
      </w:pPr>
      <w:r>
        <w:rPr>
          <w:rFonts w:cs="Times New Roman"/>
          <w:color w:val="4472C4" w:themeColor="accent1"/>
          <w:sz w:val="28"/>
          <w:szCs w:val="28"/>
          <w14:textFill>
            <w14:solidFill>
              <w14:schemeClr w14:val="accent1"/>
            </w14:solidFill>
          </w14:textFill>
        </w:rPr>
        <w:t>6.</w:t>
      </w:r>
      <w:r>
        <w:rPr>
          <w:rFonts w:hint="eastAsia" w:cs="Times New Roman"/>
          <w:color w:val="4472C4" w:themeColor="accent1"/>
          <w:sz w:val="28"/>
          <w:szCs w:val="28"/>
          <w14:textFill>
            <w14:solidFill>
              <w14:schemeClr w14:val="accent1"/>
            </w14:solidFill>
          </w14:textFill>
        </w:rPr>
        <w:t>教师教育课程</w:t>
      </w:r>
      <w:r>
        <w:rPr>
          <w:rFonts w:hint="eastAsia" w:cs="Times New Roman"/>
          <w:color w:val="4472C4" w:themeColor="accent1"/>
          <w:sz w:val="28"/>
          <w:szCs w:val="28"/>
          <w:lang w:val="en-US" w:eastAsia="zh-CN"/>
          <w14:textFill>
            <w14:solidFill>
              <w14:schemeClr w14:val="accent1"/>
            </w14:solidFill>
          </w14:textFill>
        </w:rPr>
        <w:t>38</w:t>
      </w:r>
      <w:r>
        <w:rPr>
          <w:rFonts w:hint="eastAsia" w:cs="Times New Roman"/>
          <w:color w:val="4472C4" w:themeColor="accent1"/>
          <w:sz w:val="28"/>
          <w:szCs w:val="28"/>
          <w14:textFill>
            <w14:solidFill>
              <w14:schemeClr w14:val="accent1"/>
            </w14:solidFill>
          </w14:textFill>
        </w:rPr>
        <w:t>学分，占</w:t>
      </w:r>
      <w:r>
        <w:rPr>
          <w:rFonts w:cs="Times New Roman"/>
          <w:color w:val="4472C4" w:themeColor="accent1"/>
          <w:sz w:val="28"/>
          <w:szCs w:val="28"/>
          <w14:textFill>
            <w14:solidFill>
              <w14:schemeClr w14:val="accent1"/>
            </w14:solidFill>
          </w14:textFill>
        </w:rPr>
        <w:t>22</w:t>
      </w:r>
      <w:r>
        <w:rPr>
          <w:rFonts w:hint="eastAsia" w:cs="Times New Roman"/>
          <w:color w:val="4472C4" w:themeColor="accent1"/>
          <w:sz w:val="28"/>
          <w:szCs w:val="28"/>
          <w14:textFill>
            <w14:solidFill>
              <w14:schemeClr w14:val="accent1"/>
            </w14:solidFill>
          </w14:textFill>
        </w:rPr>
        <w:t>.</w:t>
      </w:r>
      <w:r>
        <w:rPr>
          <w:rFonts w:hint="eastAsia" w:cs="Times New Roman"/>
          <w:color w:val="4472C4" w:themeColor="accent1"/>
          <w:sz w:val="28"/>
          <w:szCs w:val="28"/>
          <w:lang w:val="en-US" w:eastAsia="zh-CN"/>
          <w14:textFill>
            <w14:solidFill>
              <w14:schemeClr w14:val="accent1"/>
            </w14:solidFill>
          </w14:textFill>
        </w:rPr>
        <w:t>2</w:t>
      </w:r>
      <w:r>
        <w:rPr>
          <w:rFonts w:hint="eastAsia" w:cs="Times New Roman"/>
          <w:color w:val="4472C4" w:themeColor="accent1"/>
          <w:sz w:val="28"/>
          <w:szCs w:val="28"/>
          <w14:textFill>
            <w14:solidFill>
              <w14:schemeClr w14:val="accent1"/>
            </w14:solidFill>
          </w14:textFill>
        </w:rPr>
        <w:t>%。</w:t>
      </w:r>
    </w:p>
    <w:p>
      <w:pPr>
        <w:pStyle w:val="4"/>
        <w:rPr>
          <w:color w:val="auto"/>
        </w:rPr>
      </w:pPr>
      <w:r>
        <w:rPr>
          <w:rFonts w:hint="eastAsia"/>
          <w:color w:val="auto"/>
        </w:rPr>
        <w:t>（二）</w:t>
      </w:r>
      <w:r>
        <w:rPr>
          <w:color w:val="auto"/>
        </w:rPr>
        <w:t>课程设置</w:t>
      </w:r>
    </w:p>
    <w:p>
      <w:pPr>
        <w:adjustRightInd w:val="0"/>
        <w:snapToGrid w:val="0"/>
        <w:spacing w:line="120" w:lineRule="atLeast"/>
        <w:ind w:firstLine="560" w:firstLineChars="200"/>
        <w:rPr>
          <w:rFonts w:cs="Times New Roman"/>
          <w:sz w:val="28"/>
          <w:szCs w:val="28"/>
        </w:rPr>
      </w:pPr>
      <w:r>
        <w:rPr>
          <w:rFonts w:hint="eastAsia" w:cs="Times New Roman"/>
          <w:sz w:val="28"/>
          <w:szCs w:val="28"/>
        </w:rPr>
        <w:t>课程设置情况见下表。</w:t>
      </w:r>
    </w:p>
    <w:tbl>
      <w:tblPr>
        <w:tblStyle w:val="13"/>
        <w:tblpPr w:leftFromText="180" w:rightFromText="180" w:vertAnchor="text" w:horzAnchor="page" w:tblpX="651" w:tblpY="194"/>
        <w:tblOverlap w:val="never"/>
        <w:tblW w:w="105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690"/>
        <w:gridCol w:w="766"/>
        <w:gridCol w:w="756"/>
        <w:gridCol w:w="1075"/>
        <w:gridCol w:w="2327"/>
        <w:gridCol w:w="1017"/>
        <w:gridCol w:w="92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215" w:type="dxa"/>
            <w:gridSpan w:val="3"/>
            <w:shd w:val="clear" w:color="auto" w:fill="auto"/>
            <w:vAlign w:val="center"/>
          </w:tcPr>
          <w:p>
            <w:pPr>
              <w:jc w:val="center"/>
              <w:rPr>
                <w:rFonts w:ascii="黑体" w:hAnsi="黑体" w:eastAsia="黑体"/>
                <w:b/>
                <w:bCs/>
                <w:sz w:val="18"/>
                <w:szCs w:val="18"/>
              </w:rPr>
            </w:pPr>
            <w:r>
              <w:rPr>
                <w:rFonts w:hint="eastAsia" w:ascii="黑体" w:hAnsi="黑体" w:eastAsia="黑体"/>
                <w:b/>
                <w:bCs/>
                <w:sz w:val="18"/>
                <w:szCs w:val="18"/>
              </w:rPr>
              <w:t>课程类别</w:t>
            </w:r>
          </w:p>
        </w:tc>
        <w:tc>
          <w:tcPr>
            <w:tcW w:w="756" w:type="dxa"/>
            <w:shd w:val="clear" w:color="auto" w:fill="auto"/>
            <w:vAlign w:val="center"/>
          </w:tcPr>
          <w:p>
            <w:pPr>
              <w:jc w:val="center"/>
              <w:rPr>
                <w:rFonts w:ascii="黑体" w:hAnsi="黑体" w:eastAsia="黑体"/>
                <w:b/>
                <w:bCs/>
                <w:sz w:val="18"/>
                <w:szCs w:val="18"/>
              </w:rPr>
            </w:pPr>
            <w:r>
              <w:rPr>
                <w:rFonts w:hint="eastAsia" w:ascii="黑体" w:hAnsi="黑体" w:eastAsia="黑体"/>
                <w:b/>
                <w:bCs/>
                <w:sz w:val="18"/>
                <w:szCs w:val="18"/>
              </w:rPr>
              <w:t>课程</w:t>
            </w:r>
          </w:p>
          <w:p>
            <w:pPr>
              <w:jc w:val="center"/>
              <w:rPr>
                <w:rFonts w:ascii="黑体" w:hAnsi="黑体" w:eastAsia="黑体"/>
                <w:b/>
                <w:bCs/>
                <w:sz w:val="18"/>
                <w:szCs w:val="18"/>
              </w:rPr>
            </w:pPr>
            <w:r>
              <w:rPr>
                <w:rFonts w:hint="eastAsia" w:ascii="黑体" w:hAnsi="黑体" w:eastAsia="黑体"/>
                <w:b/>
                <w:bCs/>
                <w:sz w:val="18"/>
                <w:szCs w:val="18"/>
              </w:rPr>
              <w:t>性质</w:t>
            </w:r>
          </w:p>
        </w:tc>
        <w:tc>
          <w:tcPr>
            <w:tcW w:w="1075" w:type="dxa"/>
            <w:shd w:val="clear" w:color="auto" w:fill="auto"/>
            <w:vAlign w:val="center"/>
          </w:tcPr>
          <w:p>
            <w:pPr>
              <w:jc w:val="center"/>
              <w:rPr>
                <w:rFonts w:ascii="黑体" w:hAnsi="黑体" w:eastAsia="黑体"/>
                <w:b/>
                <w:bCs/>
                <w:sz w:val="18"/>
                <w:szCs w:val="18"/>
              </w:rPr>
            </w:pPr>
            <w:r>
              <w:rPr>
                <w:rFonts w:hint="eastAsia" w:ascii="黑体" w:hAnsi="黑体" w:eastAsia="黑体"/>
                <w:b/>
                <w:bCs/>
                <w:sz w:val="18"/>
                <w:szCs w:val="18"/>
              </w:rPr>
              <w:t>最少修读学分</w:t>
            </w:r>
          </w:p>
        </w:tc>
        <w:tc>
          <w:tcPr>
            <w:tcW w:w="2327" w:type="dxa"/>
            <w:shd w:val="clear" w:color="auto" w:fill="auto"/>
            <w:vAlign w:val="center"/>
          </w:tcPr>
          <w:p>
            <w:pPr>
              <w:jc w:val="center"/>
              <w:rPr>
                <w:rFonts w:ascii="黑体" w:hAnsi="黑体" w:eastAsia="黑体"/>
                <w:b/>
                <w:bCs/>
                <w:sz w:val="18"/>
                <w:szCs w:val="18"/>
              </w:rPr>
            </w:pPr>
            <w:r>
              <w:rPr>
                <w:rFonts w:hint="eastAsia" w:ascii="黑体" w:hAnsi="黑体" w:eastAsia="黑体"/>
                <w:b/>
                <w:bCs/>
                <w:sz w:val="18"/>
                <w:szCs w:val="18"/>
              </w:rPr>
              <w:t>课程名称</w:t>
            </w:r>
          </w:p>
        </w:tc>
        <w:tc>
          <w:tcPr>
            <w:tcW w:w="1017" w:type="dxa"/>
            <w:vAlign w:val="center"/>
          </w:tcPr>
          <w:p>
            <w:pPr>
              <w:jc w:val="center"/>
              <w:rPr>
                <w:rFonts w:ascii="黑体" w:hAnsi="黑体" w:eastAsia="黑体"/>
                <w:b/>
                <w:bCs/>
                <w:sz w:val="18"/>
                <w:szCs w:val="18"/>
              </w:rPr>
            </w:pPr>
            <w:r>
              <w:rPr>
                <w:rFonts w:hint="eastAsia" w:ascii="黑体" w:hAnsi="黑体" w:eastAsia="黑体"/>
                <w:b/>
                <w:bCs/>
                <w:sz w:val="18"/>
                <w:szCs w:val="18"/>
              </w:rPr>
              <w:t>开课学期</w:t>
            </w:r>
          </w:p>
          <w:p>
            <w:pPr>
              <w:jc w:val="center"/>
              <w:rPr>
                <w:rFonts w:ascii="黑体" w:hAnsi="黑体" w:eastAsia="黑体"/>
                <w:b/>
                <w:bCs/>
                <w:sz w:val="18"/>
                <w:szCs w:val="18"/>
              </w:rPr>
            </w:pPr>
            <w:r>
              <w:rPr>
                <w:rFonts w:hint="eastAsia" w:ascii="黑体" w:hAnsi="黑体" w:eastAsia="黑体"/>
                <w:b/>
                <w:bCs/>
                <w:sz w:val="18"/>
                <w:szCs w:val="18"/>
              </w:rPr>
              <w:t>（建议）</w:t>
            </w:r>
          </w:p>
        </w:tc>
        <w:tc>
          <w:tcPr>
            <w:tcW w:w="926" w:type="dxa"/>
            <w:vAlign w:val="center"/>
          </w:tcPr>
          <w:p>
            <w:pPr>
              <w:jc w:val="center"/>
              <w:rPr>
                <w:rFonts w:ascii="黑体" w:hAnsi="黑体" w:eastAsia="黑体"/>
                <w:b/>
                <w:bCs/>
                <w:sz w:val="18"/>
                <w:szCs w:val="18"/>
              </w:rPr>
            </w:pPr>
            <w:r>
              <w:rPr>
                <w:rFonts w:hint="eastAsia" w:ascii="黑体" w:hAnsi="黑体" w:eastAsia="黑体"/>
                <w:b/>
                <w:bCs/>
                <w:sz w:val="18"/>
                <w:szCs w:val="18"/>
              </w:rPr>
              <w:t>开课单位</w:t>
            </w:r>
          </w:p>
        </w:tc>
        <w:tc>
          <w:tcPr>
            <w:tcW w:w="2268" w:type="dxa"/>
            <w:shd w:val="clear" w:color="auto" w:fill="auto"/>
            <w:vAlign w:val="center"/>
          </w:tcPr>
          <w:p>
            <w:pPr>
              <w:jc w:val="center"/>
              <w:rPr>
                <w:rFonts w:ascii="黑体" w:hAnsi="黑体" w:eastAsia="黑体"/>
                <w:b/>
                <w:bCs/>
                <w:sz w:val="18"/>
                <w:szCs w:val="18"/>
              </w:rPr>
            </w:pPr>
            <w:r>
              <w:rPr>
                <w:rFonts w:hint="eastAsia" w:ascii="黑体" w:hAnsi="黑体" w:eastAsia="黑体"/>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9" w:type="dxa"/>
            <w:vMerge w:val="restart"/>
            <w:shd w:val="clear" w:color="auto" w:fill="auto"/>
            <w:vAlign w:val="center"/>
          </w:tcPr>
          <w:p>
            <w:pPr>
              <w:jc w:val="center"/>
              <w:rPr>
                <w:b/>
                <w:bCs/>
                <w:sz w:val="18"/>
                <w:szCs w:val="18"/>
              </w:rPr>
            </w:pPr>
            <w:r>
              <w:rPr>
                <w:rFonts w:hint="eastAsia"/>
                <w:b/>
                <w:bCs/>
                <w:sz w:val="18"/>
                <w:szCs w:val="18"/>
              </w:rPr>
              <w:t xml:space="preserve">公共必修课程       </w:t>
            </w:r>
            <w:r>
              <w:rPr>
                <w:rFonts w:hint="eastAsia"/>
                <w:b/>
                <w:bCs/>
                <w:sz w:val="16"/>
                <w:szCs w:val="16"/>
              </w:rPr>
              <w:t>(4</w:t>
            </w:r>
            <w:r>
              <w:rPr>
                <w:b/>
                <w:bCs/>
                <w:sz w:val="16"/>
                <w:szCs w:val="16"/>
              </w:rPr>
              <w:t>1</w:t>
            </w:r>
            <w:r>
              <w:rPr>
                <w:rFonts w:hint="eastAsia"/>
                <w:b/>
                <w:bCs/>
                <w:sz w:val="16"/>
                <w:szCs w:val="16"/>
              </w:rPr>
              <w:t>学分)</w:t>
            </w:r>
          </w:p>
        </w:tc>
        <w:tc>
          <w:tcPr>
            <w:tcW w:w="1456" w:type="dxa"/>
            <w:gridSpan w:val="2"/>
            <w:shd w:val="clear" w:color="auto" w:fill="auto"/>
            <w:vAlign w:val="center"/>
          </w:tcPr>
          <w:p>
            <w:pPr>
              <w:jc w:val="center"/>
              <w:rPr>
                <w:b/>
                <w:bCs/>
                <w:sz w:val="18"/>
                <w:szCs w:val="18"/>
              </w:rPr>
            </w:pPr>
            <w:r>
              <w:rPr>
                <w:rFonts w:hint="eastAsia"/>
                <w:b/>
                <w:bCs/>
                <w:sz w:val="18"/>
                <w:szCs w:val="18"/>
              </w:rPr>
              <w:t>计算机类</w:t>
            </w:r>
          </w:p>
        </w:tc>
        <w:tc>
          <w:tcPr>
            <w:tcW w:w="756" w:type="dxa"/>
            <w:vMerge w:val="restart"/>
            <w:shd w:val="clear" w:color="auto" w:fill="auto"/>
            <w:vAlign w:val="center"/>
          </w:tcPr>
          <w:p>
            <w:pPr>
              <w:jc w:val="center"/>
              <w:rPr>
                <w:sz w:val="18"/>
                <w:szCs w:val="18"/>
              </w:rPr>
            </w:pPr>
            <w:r>
              <w:rPr>
                <w:rFonts w:hint="eastAsia"/>
                <w:sz w:val="18"/>
                <w:szCs w:val="18"/>
              </w:rPr>
              <w:t>必修</w:t>
            </w:r>
          </w:p>
        </w:tc>
        <w:tc>
          <w:tcPr>
            <w:tcW w:w="1075" w:type="dxa"/>
            <w:shd w:val="clear" w:color="auto" w:fill="auto"/>
            <w:noWrap/>
            <w:vAlign w:val="center"/>
          </w:tcPr>
          <w:p>
            <w:pPr>
              <w:jc w:val="center"/>
              <w:rPr>
                <w:b/>
                <w:bCs/>
                <w:sz w:val="18"/>
                <w:szCs w:val="18"/>
              </w:rPr>
            </w:pPr>
            <w:r>
              <w:rPr>
                <w:rFonts w:hint="eastAsia"/>
                <w:b/>
                <w:bCs/>
                <w:sz w:val="18"/>
                <w:szCs w:val="18"/>
              </w:rPr>
              <w:t>4</w:t>
            </w:r>
          </w:p>
        </w:tc>
        <w:tc>
          <w:tcPr>
            <w:tcW w:w="2327" w:type="dxa"/>
            <w:shd w:val="clear" w:color="auto" w:fill="auto"/>
            <w:vAlign w:val="center"/>
          </w:tcPr>
          <w:p>
            <w:pPr>
              <w:rPr>
                <w:b/>
                <w:bCs/>
                <w:sz w:val="18"/>
                <w:szCs w:val="18"/>
              </w:rPr>
            </w:pPr>
            <w:r>
              <w:rPr>
                <w:rFonts w:hint="eastAsia"/>
                <w:b/>
                <w:bCs/>
                <w:sz w:val="18"/>
                <w:szCs w:val="18"/>
              </w:rPr>
              <w:t>编程思维与实践、人工智能与智慧教育实践</w:t>
            </w:r>
          </w:p>
        </w:tc>
        <w:tc>
          <w:tcPr>
            <w:tcW w:w="1017" w:type="dxa"/>
            <w:vAlign w:val="center"/>
          </w:tcPr>
          <w:p>
            <w:pPr>
              <w:rPr>
                <w:sz w:val="18"/>
                <w:szCs w:val="18"/>
              </w:rPr>
            </w:pPr>
            <w:r>
              <w:rPr>
                <w:rFonts w:hint="eastAsia"/>
                <w:sz w:val="16"/>
                <w:szCs w:val="16"/>
              </w:rPr>
              <w:t>第1-</w:t>
            </w:r>
            <w:r>
              <w:rPr>
                <w:sz w:val="16"/>
                <w:szCs w:val="16"/>
              </w:rPr>
              <w:t>2</w:t>
            </w:r>
            <w:r>
              <w:rPr>
                <w:rFonts w:hint="eastAsia"/>
                <w:sz w:val="16"/>
                <w:szCs w:val="16"/>
              </w:rPr>
              <w:t>学期</w:t>
            </w:r>
          </w:p>
        </w:tc>
        <w:tc>
          <w:tcPr>
            <w:tcW w:w="926" w:type="dxa"/>
            <w:vAlign w:val="center"/>
          </w:tcPr>
          <w:p>
            <w:pPr>
              <w:rPr>
                <w:sz w:val="18"/>
                <w:szCs w:val="18"/>
              </w:rPr>
            </w:pPr>
            <w:r>
              <w:rPr>
                <w:rFonts w:hint="eastAsia"/>
                <w:sz w:val="18"/>
                <w:szCs w:val="18"/>
              </w:rPr>
              <w:t>数据学院</w:t>
            </w:r>
          </w:p>
        </w:tc>
        <w:tc>
          <w:tcPr>
            <w:tcW w:w="2268" w:type="dxa"/>
            <w:shd w:val="clear" w:color="auto" w:fill="auto"/>
            <w:vAlign w:val="center"/>
          </w:tcPr>
          <w:p>
            <w:pPr>
              <w:rPr>
                <w:sz w:val="18"/>
                <w:szCs w:val="18"/>
              </w:rPr>
            </w:pPr>
            <w:r>
              <w:rPr>
                <w:rFonts w:hint="eastAsia"/>
                <w:sz w:val="18"/>
                <w:szCs w:val="18"/>
              </w:rPr>
              <w:t>编程思维与实践2学分；</w:t>
            </w:r>
          </w:p>
          <w:p>
            <w:pPr>
              <w:rPr>
                <w:sz w:val="18"/>
                <w:szCs w:val="18"/>
              </w:rPr>
            </w:pPr>
            <w:r>
              <w:rPr>
                <w:rFonts w:hint="eastAsia"/>
                <w:sz w:val="18"/>
                <w:szCs w:val="18"/>
              </w:rPr>
              <w:t>人工智能与智慧教育实践2学分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dxa"/>
            <w:vMerge w:val="continue"/>
            <w:vAlign w:val="center"/>
          </w:tcPr>
          <w:p>
            <w:pPr>
              <w:rPr>
                <w:b/>
                <w:bCs/>
                <w:sz w:val="18"/>
                <w:szCs w:val="18"/>
              </w:rPr>
            </w:pPr>
          </w:p>
        </w:tc>
        <w:tc>
          <w:tcPr>
            <w:tcW w:w="1456" w:type="dxa"/>
            <w:gridSpan w:val="2"/>
            <w:shd w:val="clear" w:color="auto" w:fill="auto"/>
            <w:vAlign w:val="center"/>
          </w:tcPr>
          <w:p>
            <w:pPr>
              <w:jc w:val="center"/>
              <w:rPr>
                <w:b/>
                <w:bCs/>
                <w:sz w:val="18"/>
                <w:szCs w:val="18"/>
              </w:rPr>
            </w:pPr>
            <w:r>
              <w:rPr>
                <w:rFonts w:hint="eastAsia"/>
                <w:b/>
                <w:bCs/>
                <w:sz w:val="18"/>
                <w:szCs w:val="18"/>
              </w:rPr>
              <w:t>英语类</w:t>
            </w:r>
          </w:p>
        </w:tc>
        <w:tc>
          <w:tcPr>
            <w:tcW w:w="756" w:type="dxa"/>
            <w:vMerge w:val="continue"/>
            <w:vAlign w:val="center"/>
          </w:tcPr>
          <w:p>
            <w:pPr>
              <w:rPr>
                <w:sz w:val="18"/>
                <w:szCs w:val="18"/>
              </w:rPr>
            </w:pPr>
          </w:p>
        </w:tc>
        <w:tc>
          <w:tcPr>
            <w:tcW w:w="1075" w:type="dxa"/>
            <w:shd w:val="clear" w:color="auto" w:fill="auto"/>
            <w:vAlign w:val="center"/>
          </w:tcPr>
          <w:p>
            <w:pPr>
              <w:jc w:val="center"/>
              <w:rPr>
                <w:b/>
                <w:bCs/>
                <w:sz w:val="18"/>
                <w:szCs w:val="18"/>
              </w:rPr>
            </w:pPr>
            <w:r>
              <w:rPr>
                <w:rFonts w:hint="eastAsia"/>
                <w:b/>
                <w:bCs/>
                <w:color w:val="0000FF"/>
                <w:sz w:val="18"/>
                <w:szCs w:val="18"/>
                <w:lang w:val="en-US" w:eastAsia="zh-CN"/>
              </w:rPr>
              <w:t>10</w:t>
            </w:r>
            <w:r>
              <w:rPr>
                <w:rFonts w:hint="eastAsia"/>
                <w:color w:val="0000FF"/>
                <w:sz w:val="18"/>
                <w:szCs w:val="18"/>
              </w:rPr>
              <w:t>（本</w:t>
            </w:r>
            <w:r>
              <w:rPr>
                <w:rFonts w:hint="eastAsia"/>
                <w:color w:val="0000FF"/>
                <w:sz w:val="18"/>
                <w:szCs w:val="18"/>
                <w:lang w:val="en-US" w:eastAsia="zh-CN"/>
              </w:rPr>
              <w:t>8</w:t>
            </w:r>
            <w:r>
              <w:rPr>
                <w:rFonts w:hint="eastAsia"/>
                <w:color w:val="0000FF"/>
                <w:sz w:val="18"/>
                <w:szCs w:val="18"/>
              </w:rPr>
              <w:t>+研2）</w:t>
            </w:r>
          </w:p>
        </w:tc>
        <w:tc>
          <w:tcPr>
            <w:tcW w:w="2327" w:type="dxa"/>
            <w:shd w:val="clear" w:color="auto" w:fill="auto"/>
            <w:vAlign w:val="center"/>
          </w:tcPr>
          <w:p>
            <w:pPr>
              <w:rPr>
                <w:b/>
                <w:bCs/>
                <w:sz w:val="18"/>
                <w:szCs w:val="18"/>
              </w:rPr>
            </w:pPr>
            <w:r>
              <w:rPr>
                <w:rFonts w:hint="eastAsia"/>
                <w:b/>
                <w:bCs/>
                <w:sz w:val="18"/>
                <w:szCs w:val="18"/>
              </w:rPr>
              <w:t>大学英语、研究生英语</w:t>
            </w:r>
          </w:p>
        </w:tc>
        <w:tc>
          <w:tcPr>
            <w:tcW w:w="1017" w:type="dxa"/>
            <w:vAlign w:val="center"/>
          </w:tcPr>
          <w:p>
            <w:pPr>
              <w:rPr>
                <w:sz w:val="18"/>
                <w:szCs w:val="18"/>
              </w:rPr>
            </w:pPr>
            <w:r>
              <w:rPr>
                <w:rFonts w:hint="eastAsia"/>
                <w:sz w:val="16"/>
                <w:szCs w:val="16"/>
              </w:rPr>
              <w:t>第1-</w:t>
            </w:r>
            <w:r>
              <w:rPr>
                <w:sz w:val="16"/>
                <w:szCs w:val="16"/>
              </w:rPr>
              <w:t>8</w:t>
            </w:r>
            <w:r>
              <w:rPr>
                <w:rFonts w:hint="eastAsia"/>
                <w:sz w:val="16"/>
                <w:szCs w:val="16"/>
              </w:rPr>
              <w:t>学期</w:t>
            </w:r>
          </w:p>
        </w:tc>
        <w:tc>
          <w:tcPr>
            <w:tcW w:w="926" w:type="dxa"/>
            <w:vAlign w:val="center"/>
          </w:tcPr>
          <w:p>
            <w:pPr>
              <w:rPr>
                <w:sz w:val="18"/>
                <w:szCs w:val="18"/>
              </w:rPr>
            </w:pPr>
            <w:r>
              <w:rPr>
                <w:rFonts w:hint="eastAsia"/>
                <w:sz w:val="18"/>
                <w:szCs w:val="18"/>
              </w:rPr>
              <w:t>外语学院</w:t>
            </w:r>
          </w:p>
        </w:tc>
        <w:tc>
          <w:tcPr>
            <w:tcW w:w="2268" w:type="dxa"/>
            <w:shd w:val="clear" w:color="auto" w:fill="auto"/>
            <w:vAlign w:val="center"/>
          </w:tcPr>
          <w:p>
            <w:pPr>
              <w:rPr>
                <w:sz w:val="18"/>
                <w:szCs w:val="18"/>
              </w:rPr>
            </w:pPr>
            <w:r>
              <w:rPr>
                <w:rFonts w:hint="eastAsia"/>
                <w:sz w:val="18"/>
                <w:szCs w:val="18"/>
              </w:rPr>
              <w:t>大学英语</w:t>
            </w:r>
            <w:r>
              <w:rPr>
                <w:sz w:val="18"/>
                <w:szCs w:val="18"/>
              </w:rPr>
              <w:t>8</w:t>
            </w:r>
            <w:r>
              <w:rPr>
                <w:rFonts w:hint="eastAsia"/>
                <w:sz w:val="18"/>
                <w:szCs w:val="18"/>
              </w:rPr>
              <w:t>学分；</w:t>
            </w:r>
            <w:r>
              <w:rPr>
                <w:sz w:val="18"/>
                <w:szCs w:val="18"/>
              </w:rPr>
              <w:br w:type="textWrapping"/>
            </w:r>
            <w:r>
              <w:rPr>
                <w:rFonts w:hint="eastAsia"/>
                <w:sz w:val="18"/>
                <w:szCs w:val="18"/>
              </w:rPr>
              <w:t>研究生英语2学分，分为学术英语、英语写作、英语演讲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9" w:type="dxa"/>
            <w:vMerge w:val="continue"/>
            <w:vAlign w:val="center"/>
          </w:tcPr>
          <w:p>
            <w:pPr>
              <w:rPr>
                <w:b/>
                <w:bCs/>
                <w:sz w:val="18"/>
                <w:szCs w:val="18"/>
              </w:rPr>
            </w:pPr>
          </w:p>
        </w:tc>
        <w:tc>
          <w:tcPr>
            <w:tcW w:w="1456" w:type="dxa"/>
            <w:gridSpan w:val="2"/>
            <w:shd w:val="clear" w:color="auto" w:fill="auto"/>
            <w:vAlign w:val="center"/>
          </w:tcPr>
          <w:p>
            <w:pPr>
              <w:jc w:val="center"/>
              <w:rPr>
                <w:b/>
                <w:bCs/>
                <w:sz w:val="18"/>
                <w:szCs w:val="18"/>
              </w:rPr>
            </w:pPr>
            <w:r>
              <w:rPr>
                <w:rFonts w:hint="eastAsia"/>
                <w:b/>
                <w:bCs/>
                <w:sz w:val="18"/>
                <w:szCs w:val="18"/>
              </w:rPr>
              <w:t>体育类</w:t>
            </w:r>
          </w:p>
        </w:tc>
        <w:tc>
          <w:tcPr>
            <w:tcW w:w="756" w:type="dxa"/>
            <w:vMerge w:val="continue"/>
            <w:vAlign w:val="center"/>
          </w:tcPr>
          <w:p>
            <w:pPr>
              <w:rPr>
                <w:sz w:val="18"/>
                <w:szCs w:val="18"/>
              </w:rPr>
            </w:pPr>
          </w:p>
        </w:tc>
        <w:tc>
          <w:tcPr>
            <w:tcW w:w="1075" w:type="dxa"/>
            <w:shd w:val="clear" w:color="auto" w:fill="auto"/>
            <w:vAlign w:val="center"/>
          </w:tcPr>
          <w:p>
            <w:pPr>
              <w:jc w:val="center"/>
              <w:rPr>
                <w:b/>
                <w:bCs/>
                <w:sz w:val="18"/>
                <w:szCs w:val="18"/>
              </w:rPr>
            </w:pPr>
            <w:r>
              <w:rPr>
                <w:rFonts w:hint="eastAsia"/>
                <w:b/>
                <w:bCs/>
                <w:sz w:val="18"/>
                <w:szCs w:val="18"/>
              </w:rPr>
              <w:t>4</w:t>
            </w:r>
          </w:p>
        </w:tc>
        <w:tc>
          <w:tcPr>
            <w:tcW w:w="2327" w:type="dxa"/>
            <w:shd w:val="clear" w:color="auto" w:fill="auto"/>
            <w:vAlign w:val="center"/>
          </w:tcPr>
          <w:p>
            <w:pPr>
              <w:rPr>
                <w:b/>
                <w:bCs/>
                <w:sz w:val="18"/>
                <w:szCs w:val="18"/>
              </w:rPr>
            </w:pPr>
            <w:r>
              <w:rPr>
                <w:rFonts w:hint="eastAsia"/>
                <w:b/>
                <w:bCs/>
                <w:sz w:val="18"/>
                <w:szCs w:val="18"/>
              </w:rPr>
              <w:t>公共体育课程</w:t>
            </w:r>
          </w:p>
        </w:tc>
        <w:tc>
          <w:tcPr>
            <w:tcW w:w="1017" w:type="dxa"/>
            <w:vAlign w:val="center"/>
          </w:tcPr>
          <w:p>
            <w:pPr>
              <w:rPr>
                <w:rFonts w:ascii="等线" w:hAnsi="等线" w:eastAsia="等线"/>
                <w:sz w:val="22"/>
                <w:szCs w:val="22"/>
              </w:rPr>
            </w:pPr>
            <w:r>
              <w:rPr>
                <w:rFonts w:hint="eastAsia"/>
                <w:sz w:val="16"/>
                <w:szCs w:val="16"/>
              </w:rPr>
              <w:t>第1-</w:t>
            </w:r>
            <w:r>
              <w:rPr>
                <w:sz w:val="16"/>
                <w:szCs w:val="16"/>
              </w:rPr>
              <w:t>4</w:t>
            </w:r>
            <w:r>
              <w:rPr>
                <w:rFonts w:hint="eastAsia"/>
                <w:sz w:val="16"/>
                <w:szCs w:val="16"/>
              </w:rPr>
              <w:t>学期</w:t>
            </w:r>
          </w:p>
        </w:tc>
        <w:tc>
          <w:tcPr>
            <w:tcW w:w="926" w:type="dxa"/>
            <w:vAlign w:val="center"/>
          </w:tcPr>
          <w:p>
            <w:pPr>
              <w:rPr>
                <w:rFonts w:ascii="等线" w:hAnsi="等线" w:eastAsia="等线"/>
                <w:sz w:val="22"/>
                <w:szCs w:val="22"/>
              </w:rPr>
            </w:pPr>
            <w:r>
              <w:rPr>
                <w:rFonts w:hint="eastAsia"/>
                <w:sz w:val="18"/>
                <w:szCs w:val="18"/>
              </w:rPr>
              <w:t>体健学院</w:t>
            </w: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59" w:type="dxa"/>
            <w:vMerge w:val="continue"/>
            <w:vAlign w:val="center"/>
          </w:tcPr>
          <w:p>
            <w:pPr>
              <w:rPr>
                <w:b/>
                <w:bCs/>
                <w:sz w:val="18"/>
                <w:szCs w:val="18"/>
              </w:rPr>
            </w:pPr>
          </w:p>
        </w:tc>
        <w:tc>
          <w:tcPr>
            <w:tcW w:w="1456" w:type="dxa"/>
            <w:gridSpan w:val="2"/>
            <w:shd w:val="clear" w:color="auto" w:fill="auto"/>
            <w:vAlign w:val="center"/>
          </w:tcPr>
          <w:p>
            <w:pPr>
              <w:jc w:val="center"/>
              <w:rPr>
                <w:b/>
                <w:bCs/>
                <w:sz w:val="18"/>
                <w:szCs w:val="18"/>
              </w:rPr>
            </w:pPr>
            <w:r>
              <w:rPr>
                <w:rFonts w:hint="eastAsia"/>
                <w:b/>
                <w:bCs/>
                <w:sz w:val="18"/>
                <w:szCs w:val="18"/>
              </w:rPr>
              <w:t>思政类</w:t>
            </w:r>
          </w:p>
        </w:tc>
        <w:tc>
          <w:tcPr>
            <w:tcW w:w="756" w:type="dxa"/>
            <w:vMerge w:val="continue"/>
            <w:vAlign w:val="center"/>
          </w:tcPr>
          <w:p>
            <w:pPr>
              <w:rPr>
                <w:sz w:val="18"/>
                <w:szCs w:val="18"/>
              </w:rPr>
            </w:pPr>
          </w:p>
        </w:tc>
        <w:tc>
          <w:tcPr>
            <w:tcW w:w="1075" w:type="dxa"/>
            <w:shd w:val="clear" w:color="000000" w:fill="FFFFFF"/>
            <w:vAlign w:val="center"/>
          </w:tcPr>
          <w:p>
            <w:pPr>
              <w:jc w:val="center"/>
              <w:rPr>
                <w:b/>
                <w:bCs/>
                <w:sz w:val="18"/>
                <w:szCs w:val="18"/>
              </w:rPr>
            </w:pPr>
            <w:r>
              <w:rPr>
                <w:rFonts w:hint="eastAsia"/>
                <w:b/>
                <w:bCs/>
                <w:sz w:val="18"/>
                <w:szCs w:val="18"/>
              </w:rPr>
              <w:t>21</w:t>
            </w:r>
          </w:p>
          <w:p>
            <w:pPr>
              <w:jc w:val="center"/>
              <w:rPr>
                <w:b/>
                <w:bCs/>
                <w:sz w:val="18"/>
                <w:szCs w:val="18"/>
              </w:rPr>
            </w:pPr>
            <w:r>
              <w:rPr>
                <w:rFonts w:hint="eastAsia"/>
                <w:sz w:val="18"/>
                <w:szCs w:val="18"/>
              </w:rPr>
              <w:t>（本17+研4）</w:t>
            </w:r>
          </w:p>
        </w:tc>
        <w:tc>
          <w:tcPr>
            <w:tcW w:w="2327" w:type="dxa"/>
            <w:shd w:val="clear" w:color="auto" w:fill="auto"/>
            <w:vAlign w:val="center"/>
          </w:tcPr>
          <w:p>
            <w:pPr>
              <w:jc w:val="both"/>
              <w:rPr>
                <w:sz w:val="18"/>
                <w:szCs w:val="18"/>
              </w:rPr>
            </w:pPr>
            <w:r>
              <w:rPr>
                <w:rFonts w:hint="eastAsia"/>
                <w:b/>
                <w:bCs/>
                <w:sz w:val="18"/>
                <w:szCs w:val="18"/>
              </w:rPr>
              <w:t>本科：</w:t>
            </w:r>
            <w:r>
              <w:rPr>
                <w:rFonts w:hint="eastAsia"/>
                <w:sz w:val="18"/>
                <w:szCs w:val="18"/>
              </w:rPr>
              <w:t>中国近现代史纲要3学分、思想道德与法制3学分、毛泽东思想和中国特色社会主义理论体系概论3学分、马克思主义基本原理3学分、习近平新时代中国特色社会主义思想概论3学分、形势与政策2学分；</w:t>
            </w:r>
          </w:p>
          <w:p>
            <w:pPr>
              <w:jc w:val="both"/>
              <w:rPr>
                <w:b/>
                <w:bCs/>
                <w:sz w:val="18"/>
                <w:szCs w:val="18"/>
              </w:rPr>
            </w:pPr>
            <w:r>
              <w:rPr>
                <w:rFonts w:hint="eastAsia"/>
                <w:b/>
                <w:bCs/>
                <w:sz w:val="18"/>
                <w:szCs w:val="18"/>
              </w:rPr>
              <w:t>研究生：</w:t>
            </w:r>
            <w:r>
              <w:rPr>
                <w:rFonts w:hint="eastAsia"/>
                <w:sz w:val="18"/>
                <w:szCs w:val="18"/>
              </w:rPr>
              <w:t>新时代中国特色社会主义理论与实践2学分、马克思主义与社会科学方法论1学分、习近平总书记关于教育的重要论述研究1学分。</w:t>
            </w:r>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Align w:val="center"/>
          </w:tcPr>
          <w:p>
            <w:pPr>
              <w:rPr>
                <w:rFonts w:ascii="等线" w:hAnsi="等线" w:eastAsia="等线"/>
                <w:sz w:val="22"/>
                <w:szCs w:val="22"/>
              </w:rPr>
            </w:pPr>
            <w:r>
              <w:rPr>
                <w:rFonts w:hint="eastAsia"/>
                <w:sz w:val="18"/>
                <w:szCs w:val="18"/>
              </w:rPr>
              <w:t>马克思主义学院</w:t>
            </w: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59" w:type="dxa"/>
            <w:vMerge w:val="continue"/>
            <w:vAlign w:val="center"/>
          </w:tcPr>
          <w:p>
            <w:pPr>
              <w:rPr>
                <w:b/>
                <w:bCs/>
                <w:sz w:val="18"/>
                <w:szCs w:val="18"/>
              </w:rPr>
            </w:pPr>
          </w:p>
        </w:tc>
        <w:tc>
          <w:tcPr>
            <w:tcW w:w="1456" w:type="dxa"/>
            <w:gridSpan w:val="2"/>
            <w:shd w:val="clear" w:color="auto" w:fill="auto"/>
            <w:vAlign w:val="center"/>
          </w:tcPr>
          <w:p>
            <w:pPr>
              <w:jc w:val="center"/>
              <w:rPr>
                <w:b/>
                <w:bCs/>
                <w:sz w:val="18"/>
                <w:szCs w:val="18"/>
              </w:rPr>
            </w:pPr>
            <w:r>
              <w:rPr>
                <w:rFonts w:hint="eastAsia"/>
                <w:b/>
                <w:bCs/>
                <w:color w:val="0000FF"/>
                <w:sz w:val="18"/>
                <w:szCs w:val="18"/>
              </w:rPr>
              <w:t>国情教育</w:t>
            </w:r>
          </w:p>
        </w:tc>
        <w:tc>
          <w:tcPr>
            <w:tcW w:w="756" w:type="dxa"/>
            <w:vMerge w:val="continue"/>
            <w:vAlign w:val="center"/>
          </w:tcPr>
          <w:p>
            <w:pPr>
              <w:rPr>
                <w:sz w:val="18"/>
                <w:szCs w:val="18"/>
              </w:rPr>
            </w:pPr>
          </w:p>
        </w:tc>
        <w:tc>
          <w:tcPr>
            <w:tcW w:w="1075" w:type="dxa"/>
            <w:shd w:val="clear" w:color="auto" w:fill="auto"/>
            <w:vAlign w:val="center"/>
          </w:tcPr>
          <w:p>
            <w:pPr>
              <w:jc w:val="center"/>
              <w:rPr>
                <w:rFonts w:hint="eastAsia" w:eastAsia="宋体"/>
                <w:b/>
                <w:bCs/>
                <w:sz w:val="18"/>
                <w:szCs w:val="18"/>
                <w:lang w:eastAsia="zh-CN"/>
              </w:rPr>
            </w:pPr>
            <w:r>
              <w:rPr>
                <w:rFonts w:hint="eastAsia"/>
                <w:b/>
                <w:bCs/>
                <w:sz w:val="18"/>
                <w:szCs w:val="18"/>
                <w:lang w:val="en-US" w:eastAsia="zh-CN"/>
              </w:rPr>
              <w:t>3</w:t>
            </w:r>
          </w:p>
        </w:tc>
        <w:tc>
          <w:tcPr>
            <w:tcW w:w="2327" w:type="dxa"/>
            <w:shd w:val="clear" w:color="auto" w:fill="auto"/>
            <w:vAlign w:val="center"/>
          </w:tcPr>
          <w:p>
            <w:pPr>
              <w:rPr>
                <w:b/>
                <w:bCs/>
                <w:sz w:val="18"/>
                <w:szCs w:val="18"/>
              </w:rPr>
            </w:pPr>
            <w:r>
              <w:rPr>
                <w:rFonts w:hint="eastAsia"/>
                <w:b/>
                <w:bCs/>
                <w:color w:val="0000FF"/>
                <w:sz w:val="18"/>
                <w:szCs w:val="18"/>
              </w:rPr>
              <w:t>军事理论（含军训）</w:t>
            </w:r>
            <w:r>
              <w:rPr>
                <w:rFonts w:hint="eastAsia"/>
                <w:b/>
                <w:bCs/>
                <w:color w:val="0000FF"/>
                <w:sz w:val="18"/>
                <w:szCs w:val="18"/>
                <w:lang w:eastAsia="zh-CN"/>
              </w:rPr>
              <w:t>、国家安全教育</w:t>
            </w:r>
            <w:bookmarkStart w:id="2" w:name="_GoBack"/>
            <w:bookmarkEnd w:id="2"/>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restart"/>
            <w:shd w:val="clear" w:color="auto" w:fill="auto"/>
            <w:vAlign w:val="center"/>
          </w:tcPr>
          <w:p>
            <w:pPr>
              <w:jc w:val="center"/>
              <w:rPr>
                <w:b/>
                <w:bCs/>
                <w:sz w:val="18"/>
                <w:szCs w:val="18"/>
              </w:rPr>
            </w:pPr>
            <w:r>
              <w:rPr>
                <w:rFonts w:hint="eastAsia"/>
                <w:b/>
                <w:bCs/>
                <w:sz w:val="18"/>
                <w:szCs w:val="18"/>
              </w:rPr>
              <w:t xml:space="preserve">通识教育课程         </w:t>
            </w:r>
            <w:r>
              <w:rPr>
                <w:rFonts w:hint="eastAsia"/>
                <w:b/>
                <w:bCs/>
                <w:sz w:val="16"/>
                <w:szCs w:val="16"/>
              </w:rPr>
              <w:t>(8学分)</w:t>
            </w:r>
          </w:p>
        </w:tc>
        <w:tc>
          <w:tcPr>
            <w:tcW w:w="690" w:type="dxa"/>
            <w:shd w:val="clear" w:color="auto" w:fill="auto"/>
            <w:vAlign w:val="center"/>
          </w:tcPr>
          <w:p>
            <w:pPr>
              <w:rPr>
                <w:b/>
                <w:bCs/>
                <w:sz w:val="18"/>
                <w:szCs w:val="18"/>
              </w:rPr>
            </w:pPr>
            <w:r>
              <w:rPr>
                <w:rFonts w:hint="eastAsia"/>
                <w:b/>
                <w:bCs/>
                <w:sz w:val="18"/>
                <w:szCs w:val="18"/>
              </w:rPr>
              <w:t>人类思维与学科史论</w:t>
            </w:r>
          </w:p>
        </w:tc>
        <w:tc>
          <w:tcPr>
            <w:tcW w:w="766" w:type="dxa"/>
            <w:shd w:val="clear" w:color="auto" w:fill="auto"/>
            <w:vAlign w:val="center"/>
          </w:tcPr>
          <w:p>
            <w:pPr>
              <w:rPr>
                <w:b/>
                <w:bCs/>
                <w:sz w:val="18"/>
                <w:szCs w:val="18"/>
              </w:rPr>
            </w:pPr>
            <w:r>
              <w:rPr>
                <w:rFonts w:hint="eastAsia"/>
                <w:b/>
                <w:bCs/>
                <w:sz w:val="18"/>
                <w:szCs w:val="18"/>
              </w:rPr>
              <w:t>人类思维与学科史论</w:t>
            </w:r>
          </w:p>
        </w:tc>
        <w:tc>
          <w:tcPr>
            <w:tcW w:w="756" w:type="dxa"/>
            <w:shd w:val="clear" w:color="auto" w:fill="auto"/>
            <w:vAlign w:val="center"/>
          </w:tcPr>
          <w:p>
            <w:pPr>
              <w:jc w:val="center"/>
              <w:rPr>
                <w:sz w:val="18"/>
                <w:szCs w:val="18"/>
              </w:rPr>
            </w:pPr>
            <w:r>
              <w:rPr>
                <w:rFonts w:hint="eastAsia"/>
                <w:sz w:val="18"/>
                <w:szCs w:val="18"/>
              </w:rPr>
              <w:t>选修</w:t>
            </w:r>
          </w:p>
        </w:tc>
        <w:tc>
          <w:tcPr>
            <w:tcW w:w="1075" w:type="dxa"/>
            <w:shd w:val="clear" w:color="auto" w:fill="auto"/>
            <w:vAlign w:val="center"/>
          </w:tcPr>
          <w:p>
            <w:pPr>
              <w:jc w:val="center"/>
              <w:rPr>
                <w:b/>
                <w:bCs/>
                <w:sz w:val="18"/>
                <w:szCs w:val="18"/>
              </w:rPr>
            </w:pPr>
            <w:r>
              <w:rPr>
                <w:rFonts w:hint="eastAsia"/>
                <w:b/>
                <w:bCs/>
                <w:sz w:val="18"/>
                <w:szCs w:val="18"/>
              </w:rPr>
              <w:t>1</w:t>
            </w:r>
          </w:p>
        </w:tc>
        <w:tc>
          <w:tcPr>
            <w:tcW w:w="2327" w:type="dxa"/>
            <w:shd w:val="clear" w:color="auto" w:fill="auto"/>
            <w:vAlign w:val="center"/>
          </w:tcPr>
          <w:p>
            <w:pPr>
              <w:rPr>
                <w:b/>
                <w:bCs/>
                <w:sz w:val="18"/>
                <w:szCs w:val="18"/>
              </w:rPr>
            </w:pPr>
            <w:r>
              <w:rPr>
                <w:rFonts w:hint="eastAsia"/>
                <w:b/>
                <w:bCs/>
                <w:sz w:val="18"/>
                <w:szCs w:val="18"/>
              </w:rPr>
              <w:t>　</w:t>
            </w:r>
          </w:p>
        </w:tc>
        <w:tc>
          <w:tcPr>
            <w:tcW w:w="1017" w:type="dxa"/>
            <w:vAlign w:val="center"/>
          </w:tcPr>
          <w:p>
            <w:pPr>
              <w:rPr>
                <w:sz w:val="18"/>
                <w:szCs w:val="18"/>
              </w:rPr>
            </w:pPr>
            <w:r>
              <w:rPr>
                <w:rFonts w:hint="eastAsia"/>
                <w:sz w:val="16"/>
                <w:szCs w:val="16"/>
              </w:rPr>
              <w:t>第1-</w:t>
            </w:r>
            <w:r>
              <w:rPr>
                <w:sz w:val="16"/>
                <w:szCs w:val="16"/>
              </w:rPr>
              <w:t>8</w:t>
            </w:r>
            <w:r>
              <w:rPr>
                <w:rFonts w:hint="eastAsia"/>
                <w:sz w:val="16"/>
                <w:szCs w:val="16"/>
              </w:rPr>
              <w:t>学期</w:t>
            </w:r>
          </w:p>
        </w:tc>
        <w:tc>
          <w:tcPr>
            <w:tcW w:w="926" w:type="dxa"/>
            <w:vMerge w:val="restart"/>
            <w:vAlign w:val="center"/>
          </w:tcPr>
          <w:p>
            <w:pPr>
              <w:rPr>
                <w:sz w:val="18"/>
                <w:szCs w:val="18"/>
              </w:rPr>
            </w:pPr>
            <w:r>
              <w:rPr>
                <w:rFonts w:hint="eastAsia"/>
                <w:sz w:val="18"/>
                <w:szCs w:val="18"/>
              </w:rPr>
              <w:t>教务处统筹</w:t>
            </w:r>
          </w:p>
          <w:p>
            <w:pPr>
              <w:rPr>
                <w:sz w:val="18"/>
                <w:szCs w:val="18"/>
              </w:rPr>
            </w:pPr>
          </w:p>
        </w:tc>
        <w:tc>
          <w:tcPr>
            <w:tcW w:w="2268" w:type="dxa"/>
            <w:shd w:val="clear" w:color="auto" w:fill="auto"/>
            <w:vAlign w:val="center"/>
          </w:tcPr>
          <w:p>
            <w:pPr>
              <w:rPr>
                <w:sz w:val="18"/>
                <w:szCs w:val="18"/>
              </w:rPr>
            </w:pPr>
            <w:r>
              <w:rPr>
                <w:rFonts w:hint="eastAsia"/>
                <w:sz w:val="18"/>
                <w:szCs w:val="18"/>
              </w:rPr>
              <w:t>鼓励公费师范生在非本专业课程中修读。具体参照各专业的培养方案。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59" w:type="dxa"/>
            <w:vMerge w:val="continue"/>
            <w:vAlign w:val="center"/>
          </w:tcPr>
          <w:p>
            <w:pPr>
              <w:rPr>
                <w:b/>
                <w:bCs/>
                <w:sz w:val="18"/>
                <w:szCs w:val="18"/>
              </w:rPr>
            </w:pPr>
          </w:p>
        </w:tc>
        <w:tc>
          <w:tcPr>
            <w:tcW w:w="690" w:type="dxa"/>
            <w:shd w:val="clear" w:color="auto" w:fill="auto"/>
            <w:vAlign w:val="center"/>
          </w:tcPr>
          <w:p>
            <w:pPr>
              <w:jc w:val="center"/>
              <w:rPr>
                <w:b/>
                <w:bCs/>
                <w:sz w:val="18"/>
                <w:szCs w:val="18"/>
              </w:rPr>
            </w:pPr>
            <w:r>
              <w:rPr>
                <w:rFonts w:hint="eastAsia"/>
                <w:b/>
                <w:bCs/>
                <w:sz w:val="18"/>
                <w:szCs w:val="18"/>
              </w:rPr>
              <w:t>经典阅读</w:t>
            </w:r>
          </w:p>
        </w:tc>
        <w:tc>
          <w:tcPr>
            <w:tcW w:w="766" w:type="dxa"/>
            <w:shd w:val="clear" w:color="auto" w:fill="auto"/>
            <w:vAlign w:val="center"/>
          </w:tcPr>
          <w:p>
            <w:pPr>
              <w:rPr>
                <w:b/>
                <w:bCs/>
                <w:sz w:val="18"/>
                <w:szCs w:val="18"/>
              </w:rPr>
            </w:pPr>
            <w:r>
              <w:rPr>
                <w:rFonts w:hint="eastAsia"/>
                <w:b/>
                <w:bCs/>
                <w:sz w:val="18"/>
                <w:szCs w:val="18"/>
              </w:rPr>
              <w:t>伟大的智慧</w:t>
            </w:r>
          </w:p>
        </w:tc>
        <w:tc>
          <w:tcPr>
            <w:tcW w:w="756" w:type="dxa"/>
            <w:shd w:val="clear" w:color="auto" w:fill="auto"/>
            <w:vAlign w:val="center"/>
          </w:tcPr>
          <w:p>
            <w:pPr>
              <w:jc w:val="center"/>
              <w:rPr>
                <w:sz w:val="18"/>
                <w:szCs w:val="18"/>
              </w:rPr>
            </w:pPr>
            <w:r>
              <w:rPr>
                <w:rFonts w:hint="eastAsia"/>
                <w:sz w:val="18"/>
                <w:szCs w:val="18"/>
              </w:rPr>
              <w:t>必修</w:t>
            </w:r>
          </w:p>
        </w:tc>
        <w:tc>
          <w:tcPr>
            <w:tcW w:w="1075" w:type="dxa"/>
            <w:shd w:val="clear" w:color="auto" w:fill="auto"/>
            <w:vAlign w:val="center"/>
          </w:tcPr>
          <w:p>
            <w:pPr>
              <w:jc w:val="center"/>
              <w:rPr>
                <w:b/>
                <w:bCs/>
                <w:sz w:val="18"/>
                <w:szCs w:val="18"/>
              </w:rPr>
            </w:pPr>
            <w:r>
              <w:rPr>
                <w:rFonts w:hint="eastAsia"/>
                <w:b/>
                <w:bCs/>
                <w:sz w:val="18"/>
                <w:szCs w:val="18"/>
              </w:rPr>
              <w:t>2</w:t>
            </w:r>
          </w:p>
        </w:tc>
        <w:tc>
          <w:tcPr>
            <w:tcW w:w="2327" w:type="dxa"/>
            <w:shd w:val="clear" w:color="auto" w:fill="auto"/>
            <w:vAlign w:val="center"/>
          </w:tcPr>
          <w:p>
            <w:pPr>
              <w:rPr>
                <w:b/>
                <w:bCs/>
                <w:sz w:val="18"/>
                <w:szCs w:val="18"/>
              </w:rPr>
            </w:pPr>
            <w:r>
              <w:rPr>
                <w:rFonts w:hint="eastAsia"/>
                <w:b/>
                <w:bCs/>
                <w:sz w:val="18"/>
                <w:szCs w:val="18"/>
              </w:rPr>
              <w:t>在“经典阅读”课程中加强阅读指导和演讲训练，培养师范生探究性、创造性阅读以及演讲表达能力。</w:t>
            </w:r>
          </w:p>
        </w:tc>
        <w:tc>
          <w:tcPr>
            <w:tcW w:w="1017" w:type="dxa"/>
            <w:vAlign w:val="center"/>
          </w:tcPr>
          <w:p>
            <w:pPr>
              <w:rPr>
                <w:sz w:val="18"/>
                <w:szCs w:val="18"/>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sz w:val="18"/>
                <w:szCs w:val="18"/>
              </w:rPr>
            </w:pPr>
          </w:p>
        </w:tc>
        <w:tc>
          <w:tcPr>
            <w:tcW w:w="2268" w:type="dxa"/>
            <w:shd w:val="clear" w:color="auto" w:fill="auto"/>
            <w:vAlign w:val="center"/>
          </w:tcPr>
          <w:p>
            <w:pPr>
              <w:rPr>
                <w:sz w:val="18"/>
                <w:szCs w:val="18"/>
              </w:rPr>
            </w:pPr>
            <w:r>
              <w:rPr>
                <w:rFonts w:hint="eastAsia"/>
                <w:sz w:val="18"/>
                <w:szCs w:val="18"/>
              </w:rPr>
              <w:t>汉语言文学、历史学专业师范生不做必修要求。具体请参照各专业的培养方案。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9" w:type="dxa"/>
            <w:vMerge w:val="continue"/>
            <w:vAlign w:val="center"/>
          </w:tcPr>
          <w:p>
            <w:pPr>
              <w:rPr>
                <w:b/>
                <w:bCs/>
                <w:sz w:val="18"/>
                <w:szCs w:val="18"/>
              </w:rPr>
            </w:pPr>
          </w:p>
        </w:tc>
        <w:tc>
          <w:tcPr>
            <w:tcW w:w="690" w:type="dxa"/>
            <w:vMerge w:val="restart"/>
            <w:shd w:val="clear" w:color="auto" w:fill="auto"/>
            <w:vAlign w:val="center"/>
          </w:tcPr>
          <w:p>
            <w:pPr>
              <w:rPr>
                <w:b/>
                <w:bCs/>
                <w:sz w:val="18"/>
                <w:szCs w:val="18"/>
              </w:rPr>
            </w:pPr>
            <w:r>
              <w:rPr>
                <w:rFonts w:hint="eastAsia"/>
                <w:b/>
                <w:bCs/>
                <w:sz w:val="18"/>
                <w:szCs w:val="18"/>
              </w:rPr>
              <w:t>模块课程</w:t>
            </w:r>
          </w:p>
        </w:tc>
        <w:tc>
          <w:tcPr>
            <w:tcW w:w="766" w:type="dxa"/>
            <w:shd w:val="clear" w:color="auto" w:fill="auto"/>
            <w:vAlign w:val="center"/>
          </w:tcPr>
          <w:p>
            <w:pPr>
              <w:rPr>
                <w:b/>
                <w:bCs/>
                <w:sz w:val="18"/>
                <w:szCs w:val="18"/>
              </w:rPr>
            </w:pPr>
            <w:r>
              <w:rPr>
                <w:rFonts w:hint="eastAsia"/>
                <w:b/>
                <w:bCs/>
                <w:sz w:val="18"/>
                <w:szCs w:val="18"/>
              </w:rPr>
              <w:t>价值、社会与进步</w:t>
            </w:r>
          </w:p>
        </w:tc>
        <w:tc>
          <w:tcPr>
            <w:tcW w:w="756" w:type="dxa"/>
            <w:shd w:val="clear" w:color="auto" w:fill="auto"/>
            <w:vAlign w:val="center"/>
          </w:tcPr>
          <w:p>
            <w:pPr>
              <w:jc w:val="center"/>
              <w:rPr>
                <w:sz w:val="18"/>
                <w:szCs w:val="18"/>
              </w:rPr>
            </w:pPr>
            <w:r>
              <w:rPr>
                <w:rFonts w:hint="eastAsia"/>
                <w:sz w:val="18"/>
                <w:szCs w:val="18"/>
              </w:rPr>
              <w:t>选修</w:t>
            </w:r>
          </w:p>
        </w:tc>
        <w:tc>
          <w:tcPr>
            <w:tcW w:w="1075" w:type="dxa"/>
            <w:shd w:val="clear" w:color="auto" w:fill="auto"/>
            <w:vAlign w:val="center"/>
          </w:tcPr>
          <w:p>
            <w:pPr>
              <w:jc w:val="center"/>
              <w:rPr>
                <w:b/>
                <w:bCs/>
                <w:sz w:val="18"/>
                <w:szCs w:val="18"/>
              </w:rPr>
            </w:pPr>
            <w:r>
              <w:rPr>
                <w:rFonts w:hint="eastAsia"/>
                <w:b/>
                <w:bCs/>
                <w:sz w:val="18"/>
                <w:szCs w:val="18"/>
              </w:rPr>
              <w:t>　</w:t>
            </w:r>
          </w:p>
        </w:tc>
        <w:tc>
          <w:tcPr>
            <w:tcW w:w="2327" w:type="dxa"/>
            <w:shd w:val="clear" w:color="auto" w:fill="auto"/>
            <w:vAlign w:val="center"/>
          </w:tcPr>
          <w:p>
            <w:pPr>
              <w:rPr>
                <w:b/>
                <w:bCs/>
                <w:sz w:val="18"/>
                <w:szCs w:val="18"/>
              </w:rPr>
            </w:pPr>
            <w:r>
              <w:rPr>
                <w:rFonts w:hint="eastAsia"/>
                <w:b/>
                <w:bCs/>
                <w:sz w:val="18"/>
                <w:szCs w:val="18"/>
              </w:rPr>
              <w:t>　</w:t>
            </w:r>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9" w:type="dxa"/>
            <w:vMerge w:val="continue"/>
            <w:vAlign w:val="center"/>
          </w:tcPr>
          <w:p>
            <w:pPr>
              <w:rPr>
                <w:b/>
                <w:bCs/>
                <w:sz w:val="18"/>
                <w:szCs w:val="18"/>
              </w:rPr>
            </w:pPr>
          </w:p>
        </w:tc>
        <w:tc>
          <w:tcPr>
            <w:tcW w:w="690" w:type="dxa"/>
            <w:vMerge w:val="continue"/>
            <w:vAlign w:val="center"/>
          </w:tcPr>
          <w:p>
            <w:pPr>
              <w:rPr>
                <w:b/>
                <w:bCs/>
                <w:sz w:val="18"/>
                <w:szCs w:val="18"/>
              </w:rPr>
            </w:pPr>
          </w:p>
        </w:tc>
        <w:tc>
          <w:tcPr>
            <w:tcW w:w="766" w:type="dxa"/>
            <w:shd w:val="clear" w:color="auto" w:fill="auto"/>
            <w:vAlign w:val="center"/>
          </w:tcPr>
          <w:p>
            <w:pPr>
              <w:rPr>
                <w:b/>
                <w:bCs/>
                <w:sz w:val="18"/>
                <w:szCs w:val="18"/>
              </w:rPr>
            </w:pPr>
            <w:r>
              <w:rPr>
                <w:rFonts w:hint="eastAsia"/>
                <w:b/>
                <w:bCs/>
                <w:sz w:val="18"/>
                <w:szCs w:val="18"/>
              </w:rPr>
              <w:t>理性、科学与发展</w:t>
            </w:r>
          </w:p>
        </w:tc>
        <w:tc>
          <w:tcPr>
            <w:tcW w:w="756" w:type="dxa"/>
            <w:shd w:val="clear" w:color="auto" w:fill="auto"/>
            <w:vAlign w:val="center"/>
          </w:tcPr>
          <w:p>
            <w:pPr>
              <w:jc w:val="center"/>
              <w:rPr>
                <w:sz w:val="18"/>
                <w:szCs w:val="18"/>
              </w:rPr>
            </w:pPr>
            <w:r>
              <w:rPr>
                <w:rFonts w:hint="eastAsia"/>
                <w:sz w:val="18"/>
                <w:szCs w:val="18"/>
              </w:rPr>
              <w:t>选修</w:t>
            </w:r>
          </w:p>
        </w:tc>
        <w:tc>
          <w:tcPr>
            <w:tcW w:w="1075" w:type="dxa"/>
            <w:shd w:val="clear" w:color="auto" w:fill="auto"/>
            <w:vAlign w:val="center"/>
          </w:tcPr>
          <w:p>
            <w:pPr>
              <w:jc w:val="center"/>
              <w:rPr>
                <w:b/>
                <w:bCs/>
                <w:sz w:val="18"/>
                <w:szCs w:val="18"/>
              </w:rPr>
            </w:pPr>
            <w:r>
              <w:rPr>
                <w:rFonts w:hint="eastAsia"/>
                <w:b/>
                <w:bCs/>
                <w:sz w:val="18"/>
                <w:szCs w:val="18"/>
              </w:rPr>
              <w:t>　</w:t>
            </w:r>
          </w:p>
        </w:tc>
        <w:tc>
          <w:tcPr>
            <w:tcW w:w="2327" w:type="dxa"/>
            <w:shd w:val="clear" w:color="auto" w:fill="auto"/>
            <w:vAlign w:val="center"/>
          </w:tcPr>
          <w:p>
            <w:pPr>
              <w:rPr>
                <w:b/>
                <w:bCs/>
                <w:sz w:val="18"/>
                <w:szCs w:val="18"/>
              </w:rPr>
            </w:pPr>
            <w:r>
              <w:rPr>
                <w:rFonts w:hint="eastAsia"/>
                <w:b/>
                <w:bCs/>
                <w:sz w:val="18"/>
                <w:szCs w:val="18"/>
              </w:rPr>
              <w:t>　</w:t>
            </w:r>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59" w:type="dxa"/>
            <w:vMerge w:val="continue"/>
            <w:vAlign w:val="center"/>
          </w:tcPr>
          <w:p>
            <w:pPr>
              <w:rPr>
                <w:b/>
                <w:bCs/>
                <w:sz w:val="18"/>
                <w:szCs w:val="18"/>
              </w:rPr>
            </w:pPr>
          </w:p>
        </w:tc>
        <w:tc>
          <w:tcPr>
            <w:tcW w:w="690" w:type="dxa"/>
            <w:vMerge w:val="continue"/>
            <w:vAlign w:val="center"/>
          </w:tcPr>
          <w:p>
            <w:pPr>
              <w:rPr>
                <w:b/>
                <w:bCs/>
                <w:sz w:val="18"/>
                <w:szCs w:val="18"/>
              </w:rPr>
            </w:pPr>
          </w:p>
        </w:tc>
        <w:tc>
          <w:tcPr>
            <w:tcW w:w="766" w:type="dxa"/>
            <w:shd w:val="clear" w:color="auto" w:fill="auto"/>
            <w:vAlign w:val="center"/>
          </w:tcPr>
          <w:p>
            <w:pPr>
              <w:rPr>
                <w:b/>
                <w:bCs/>
                <w:sz w:val="18"/>
                <w:szCs w:val="18"/>
              </w:rPr>
            </w:pPr>
            <w:r>
              <w:rPr>
                <w:rFonts w:hint="eastAsia"/>
                <w:b/>
                <w:bCs/>
                <w:sz w:val="18"/>
                <w:szCs w:val="18"/>
              </w:rPr>
              <w:t>实践、技术与创新</w:t>
            </w:r>
          </w:p>
        </w:tc>
        <w:tc>
          <w:tcPr>
            <w:tcW w:w="756" w:type="dxa"/>
            <w:shd w:val="clear" w:color="auto" w:fill="auto"/>
            <w:vAlign w:val="center"/>
          </w:tcPr>
          <w:p>
            <w:pPr>
              <w:jc w:val="center"/>
              <w:rPr>
                <w:sz w:val="18"/>
                <w:szCs w:val="18"/>
              </w:rPr>
            </w:pPr>
            <w:r>
              <w:rPr>
                <w:rFonts w:hint="eastAsia"/>
                <w:sz w:val="18"/>
                <w:szCs w:val="18"/>
              </w:rPr>
              <w:t>选修</w:t>
            </w:r>
          </w:p>
        </w:tc>
        <w:tc>
          <w:tcPr>
            <w:tcW w:w="1075" w:type="dxa"/>
            <w:shd w:val="clear" w:color="auto" w:fill="auto"/>
            <w:vAlign w:val="center"/>
          </w:tcPr>
          <w:p>
            <w:pPr>
              <w:jc w:val="center"/>
              <w:rPr>
                <w:b/>
                <w:bCs/>
                <w:sz w:val="18"/>
                <w:szCs w:val="18"/>
              </w:rPr>
            </w:pPr>
            <w:r>
              <w:rPr>
                <w:rFonts w:hint="eastAsia"/>
                <w:b/>
                <w:bCs/>
                <w:sz w:val="18"/>
                <w:szCs w:val="18"/>
              </w:rPr>
              <w:t>　</w:t>
            </w:r>
          </w:p>
        </w:tc>
        <w:tc>
          <w:tcPr>
            <w:tcW w:w="2327" w:type="dxa"/>
            <w:shd w:val="clear" w:color="auto" w:fill="auto"/>
            <w:vAlign w:val="center"/>
          </w:tcPr>
          <w:p>
            <w:pPr>
              <w:rPr>
                <w:b/>
                <w:bCs/>
                <w:sz w:val="18"/>
                <w:szCs w:val="18"/>
              </w:rPr>
            </w:pPr>
            <w:r>
              <w:rPr>
                <w:rFonts w:hint="eastAsia"/>
                <w:b/>
                <w:bCs/>
                <w:sz w:val="18"/>
                <w:szCs w:val="18"/>
              </w:rPr>
              <w:t>　</w:t>
            </w:r>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690" w:type="dxa"/>
            <w:vMerge w:val="continue"/>
            <w:vAlign w:val="center"/>
          </w:tcPr>
          <w:p>
            <w:pPr>
              <w:rPr>
                <w:b/>
                <w:bCs/>
                <w:sz w:val="18"/>
                <w:szCs w:val="18"/>
              </w:rPr>
            </w:pPr>
          </w:p>
        </w:tc>
        <w:tc>
          <w:tcPr>
            <w:tcW w:w="766" w:type="dxa"/>
            <w:shd w:val="clear" w:color="auto" w:fill="auto"/>
            <w:vAlign w:val="center"/>
          </w:tcPr>
          <w:p>
            <w:pPr>
              <w:rPr>
                <w:b/>
                <w:bCs/>
                <w:sz w:val="18"/>
                <w:szCs w:val="18"/>
              </w:rPr>
            </w:pPr>
            <w:r>
              <w:rPr>
                <w:rFonts w:hint="eastAsia"/>
                <w:b/>
                <w:bCs/>
                <w:sz w:val="18"/>
                <w:szCs w:val="18"/>
              </w:rPr>
              <w:t>文化、审美与诠释</w:t>
            </w:r>
          </w:p>
        </w:tc>
        <w:tc>
          <w:tcPr>
            <w:tcW w:w="756" w:type="dxa"/>
            <w:shd w:val="clear" w:color="auto" w:fill="auto"/>
            <w:vAlign w:val="center"/>
          </w:tcPr>
          <w:p>
            <w:pPr>
              <w:jc w:val="center"/>
              <w:rPr>
                <w:sz w:val="18"/>
                <w:szCs w:val="18"/>
              </w:rPr>
            </w:pPr>
            <w:r>
              <w:rPr>
                <w:rFonts w:hint="eastAsia"/>
                <w:sz w:val="18"/>
                <w:szCs w:val="18"/>
              </w:rPr>
              <w:t>必修</w:t>
            </w:r>
          </w:p>
        </w:tc>
        <w:tc>
          <w:tcPr>
            <w:tcW w:w="1075" w:type="dxa"/>
            <w:shd w:val="clear" w:color="auto" w:fill="auto"/>
            <w:vAlign w:val="center"/>
          </w:tcPr>
          <w:p>
            <w:pPr>
              <w:jc w:val="center"/>
              <w:rPr>
                <w:b/>
                <w:bCs/>
                <w:sz w:val="18"/>
                <w:szCs w:val="18"/>
              </w:rPr>
            </w:pPr>
            <w:r>
              <w:rPr>
                <w:rFonts w:hint="eastAsia"/>
                <w:b/>
                <w:bCs/>
                <w:sz w:val="18"/>
                <w:szCs w:val="18"/>
              </w:rPr>
              <w:t>2</w:t>
            </w:r>
          </w:p>
        </w:tc>
        <w:tc>
          <w:tcPr>
            <w:tcW w:w="2327" w:type="dxa"/>
            <w:shd w:val="clear" w:color="auto" w:fill="auto"/>
            <w:noWrap/>
            <w:vAlign w:val="bottom"/>
          </w:tcPr>
          <w:p>
            <w:pPr>
              <w:jc w:val="center"/>
              <w:rPr>
                <w:b/>
                <w:bCs/>
                <w:sz w:val="18"/>
                <w:szCs w:val="18"/>
              </w:rPr>
            </w:pPr>
          </w:p>
        </w:tc>
        <w:tc>
          <w:tcPr>
            <w:tcW w:w="1017" w:type="dxa"/>
            <w:vAlign w:val="center"/>
          </w:tcPr>
          <w:p>
            <w:pPr>
              <w:rPr>
                <w:sz w:val="18"/>
                <w:szCs w:val="18"/>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sz w:val="18"/>
                <w:szCs w:val="18"/>
              </w:rPr>
            </w:pPr>
          </w:p>
        </w:tc>
        <w:tc>
          <w:tcPr>
            <w:tcW w:w="2268" w:type="dxa"/>
            <w:shd w:val="clear" w:color="auto" w:fill="auto"/>
            <w:vAlign w:val="center"/>
          </w:tcPr>
          <w:p>
            <w:pPr>
              <w:rPr>
                <w:sz w:val="18"/>
                <w:szCs w:val="18"/>
              </w:rPr>
            </w:pPr>
            <w:r>
              <w:rPr>
                <w:rFonts w:hint="eastAsia"/>
                <w:sz w:val="18"/>
                <w:szCs w:val="18"/>
              </w:rPr>
              <w:t>专业如已有相应艺术课程可不再重复要求。具体请参照各专业的培养方案。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dxa"/>
            <w:vMerge w:val="continue"/>
            <w:vAlign w:val="center"/>
          </w:tcPr>
          <w:p>
            <w:pPr>
              <w:rPr>
                <w:b/>
                <w:bCs/>
                <w:sz w:val="18"/>
                <w:szCs w:val="18"/>
              </w:rPr>
            </w:pPr>
          </w:p>
        </w:tc>
        <w:tc>
          <w:tcPr>
            <w:tcW w:w="690" w:type="dxa"/>
            <w:vMerge w:val="continue"/>
            <w:vAlign w:val="center"/>
          </w:tcPr>
          <w:p>
            <w:pPr>
              <w:rPr>
                <w:b/>
                <w:bCs/>
                <w:sz w:val="18"/>
                <w:szCs w:val="18"/>
              </w:rPr>
            </w:pPr>
          </w:p>
        </w:tc>
        <w:tc>
          <w:tcPr>
            <w:tcW w:w="766" w:type="dxa"/>
            <w:shd w:val="clear" w:color="auto" w:fill="auto"/>
            <w:vAlign w:val="center"/>
          </w:tcPr>
          <w:p>
            <w:pPr>
              <w:rPr>
                <w:b/>
                <w:bCs/>
                <w:sz w:val="18"/>
                <w:szCs w:val="18"/>
              </w:rPr>
            </w:pPr>
            <w:r>
              <w:rPr>
                <w:rFonts w:hint="eastAsia"/>
                <w:b/>
                <w:bCs/>
                <w:sz w:val="18"/>
                <w:szCs w:val="18"/>
              </w:rPr>
              <w:t>思辨、推理与判断</w:t>
            </w:r>
          </w:p>
        </w:tc>
        <w:tc>
          <w:tcPr>
            <w:tcW w:w="756" w:type="dxa"/>
            <w:shd w:val="clear" w:color="auto" w:fill="auto"/>
            <w:vAlign w:val="center"/>
          </w:tcPr>
          <w:p>
            <w:pPr>
              <w:jc w:val="center"/>
              <w:rPr>
                <w:sz w:val="18"/>
                <w:szCs w:val="18"/>
              </w:rPr>
            </w:pPr>
            <w:r>
              <w:rPr>
                <w:rFonts w:hint="eastAsia"/>
                <w:sz w:val="18"/>
                <w:szCs w:val="18"/>
              </w:rPr>
              <w:t>选修</w:t>
            </w:r>
          </w:p>
        </w:tc>
        <w:tc>
          <w:tcPr>
            <w:tcW w:w="1075" w:type="dxa"/>
            <w:shd w:val="clear" w:color="auto" w:fill="auto"/>
            <w:vAlign w:val="center"/>
          </w:tcPr>
          <w:p>
            <w:pPr>
              <w:jc w:val="center"/>
              <w:rPr>
                <w:b/>
                <w:bCs/>
                <w:sz w:val="18"/>
                <w:szCs w:val="18"/>
              </w:rPr>
            </w:pPr>
            <w:r>
              <w:rPr>
                <w:rFonts w:hint="eastAsia"/>
                <w:b/>
                <w:bCs/>
                <w:sz w:val="18"/>
                <w:szCs w:val="18"/>
              </w:rPr>
              <w:t>　</w:t>
            </w:r>
          </w:p>
        </w:tc>
        <w:tc>
          <w:tcPr>
            <w:tcW w:w="2327" w:type="dxa"/>
            <w:shd w:val="clear" w:color="auto" w:fill="auto"/>
            <w:vAlign w:val="center"/>
          </w:tcPr>
          <w:p>
            <w:pPr>
              <w:rPr>
                <w:b/>
                <w:bCs/>
                <w:sz w:val="18"/>
                <w:szCs w:val="18"/>
              </w:rPr>
            </w:pPr>
            <w:r>
              <w:rPr>
                <w:rFonts w:hint="eastAsia"/>
                <w:b/>
                <w:bCs/>
                <w:sz w:val="18"/>
                <w:szCs w:val="18"/>
              </w:rPr>
              <w:t>　</w:t>
            </w:r>
          </w:p>
        </w:tc>
        <w:tc>
          <w:tcPr>
            <w:tcW w:w="1017" w:type="dxa"/>
            <w:vAlign w:val="center"/>
          </w:tcPr>
          <w:p>
            <w:pPr>
              <w:rPr>
                <w:rFonts w:ascii="等线" w:hAnsi="等线" w:eastAsia="等线"/>
                <w:sz w:val="22"/>
                <w:szCs w:val="22"/>
              </w:rPr>
            </w:pPr>
            <w:r>
              <w:rPr>
                <w:rFonts w:hint="eastAsia"/>
                <w:sz w:val="16"/>
                <w:szCs w:val="16"/>
              </w:rPr>
              <w:t>第1-</w:t>
            </w:r>
            <w:r>
              <w:rPr>
                <w:sz w:val="16"/>
                <w:szCs w:val="16"/>
              </w:rPr>
              <w:t>8</w:t>
            </w:r>
            <w:r>
              <w:rPr>
                <w:rFonts w:hint="eastAsia"/>
                <w:sz w:val="16"/>
                <w:szCs w:val="16"/>
              </w:rPr>
              <w:t>学期</w:t>
            </w:r>
          </w:p>
        </w:tc>
        <w:tc>
          <w:tcPr>
            <w:tcW w:w="926" w:type="dxa"/>
            <w:vMerge w:val="continue"/>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ascii="等线" w:hAnsi="等线" w:eastAsia="等线"/>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759" w:type="dxa"/>
            <w:vMerge w:val="restart"/>
            <w:shd w:val="clear" w:color="auto" w:fill="auto"/>
            <w:vAlign w:val="center"/>
          </w:tcPr>
          <w:p>
            <w:pPr>
              <w:jc w:val="center"/>
              <w:rPr>
                <w:b/>
                <w:bCs/>
                <w:sz w:val="18"/>
                <w:szCs w:val="18"/>
              </w:rPr>
            </w:pPr>
            <w:r>
              <w:rPr>
                <w:rFonts w:hint="eastAsia"/>
                <w:b/>
                <w:bCs/>
                <w:sz w:val="18"/>
                <w:szCs w:val="18"/>
              </w:rPr>
              <w:t>跨学科</w:t>
            </w:r>
          </w:p>
          <w:p>
            <w:pPr>
              <w:jc w:val="center"/>
              <w:rPr>
                <w:rFonts w:hint="eastAsia"/>
                <w:b/>
                <w:bCs/>
                <w:sz w:val="18"/>
                <w:szCs w:val="18"/>
              </w:rPr>
            </w:pPr>
            <w:r>
              <w:rPr>
                <w:rFonts w:hint="eastAsia"/>
                <w:b/>
                <w:bCs/>
                <w:sz w:val="18"/>
                <w:szCs w:val="18"/>
              </w:rPr>
              <w:t>课程</w:t>
            </w:r>
          </w:p>
          <w:p>
            <w:pPr>
              <w:jc w:val="center"/>
              <w:rPr>
                <w:rFonts w:hint="eastAsia"/>
                <w:b/>
                <w:bCs/>
                <w:sz w:val="18"/>
                <w:szCs w:val="18"/>
              </w:rPr>
            </w:pPr>
          </w:p>
          <w:p>
            <w:pPr>
              <w:jc w:val="center"/>
              <w:rPr>
                <w:rFonts w:hint="eastAsia"/>
                <w:b/>
                <w:bCs/>
                <w:sz w:val="18"/>
                <w:szCs w:val="18"/>
              </w:rPr>
            </w:pPr>
          </w:p>
        </w:tc>
        <w:tc>
          <w:tcPr>
            <w:tcW w:w="1456" w:type="dxa"/>
            <w:gridSpan w:val="2"/>
            <w:vMerge w:val="restart"/>
            <w:shd w:val="clear" w:color="auto" w:fill="auto"/>
            <w:vAlign w:val="center"/>
          </w:tcPr>
          <w:p>
            <w:pPr>
              <w:jc w:val="center"/>
              <w:rPr>
                <w:b/>
                <w:bCs/>
                <w:sz w:val="18"/>
                <w:szCs w:val="18"/>
              </w:rPr>
            </w:pPr>
            <w:r>
              <w:rPr>
                <w:rFonts w:hint="eastAsia"/>
                <w:b/>
                <w:bCs/>
                <w:color w:val="000000" w:themeColor="text1"/>
                <w:sz w:val="18"/>
                <w:szCs w:val="18"/>
                <w14:textFill>
                  <w14:solidFill>
                    <w14:schemeClr w14:val="tx1"/>
                  </w14:solidFill>
                </w14:textFill>
              </w:rPr>
              <w:t>选择化学、生物、地理、物理中的任意微专业课程修读，8学分</w:t>
            </w:r>
          </w:p>
        </w:tc>
        <w:tc>
          <w:tcPr>
            <w:tcW w:w="756" w:type="dxa"/>
            <w:shd w:val="clear" w:color="auto" w:fill="auto"/>
            <w:vAlign w:val="center"/>
          </w:tcPr>
          <w:p>
            <w:pPr>
              <w:jc w:val="center"/>
              <w:rPr>
                <w:sz w:val="18"/>
                <w:szCs w:val="18"/>
              </w:rPr>
            </w:pPr>
            <w:r>
              <w:rPr>
                <w:rFonts w:hint="eastAsia"/>
                <w:sz w:val="18"/>
                <w:szCs w:val="18"/>
              </w:rPr>
              <w:t>必修</w:t>
            </w:r>
          </w:p>
        </w:tc>
        <w:tc>
          <w:tcPr>
            <w:tcW w:w="1075" w:type="dxa"/>
            <w:shd w:val="clear" w:color="auto" w:fill="auto"/>
            <w:vAlign w:val="center"/>
          </w:tcPr>
          <w:p>
            <w:pPr>
              <w:jc w:val="center"/>
              <w:rPr>
                <w:b/>
                <w:bCs/>
                <w:sz w:val="18"/>
                <w:szCs w:val="18"/>
              </w:rPr>
            </w:pPr>
            <w:r>
              <w:rPr>
                <w:rFonts w:hint="eastAsia"/>
                <w:b/>
                <w:bCs/>
                <w:sz w:val="18"/>
                <w:szCs w:val="18"/>
              </w:rPr>
              <w:t>8</w:t>
            </w:r>
          </w:p>
        </w:tc>
        <w:tc>
          <w:tcPr>
            <w:tcW w:w="2327" w:type="dxa"/>
            <w:shd w:val="clear" w:color="auto" w:fill="auto"/>
            <w:vAlign w:val="center"/>
          </w:tcPr>
          <w:p>
            <w:pPr>
              <w:rPr>
                <w:b/>
                <w:bCs/>
                <w:sz w:val="18"/>
                <w:szCs w:val="18"/>
              </w:rPr>
            </w:pPr>
            <w:r>
              <w:rPr>
                <w:rFonts w:hint="eastAsia"/>
                <w:b/>
                <w:bCs/>
                <w:sz w:val="18"/>
                <w:szCs w:val="18"/>
              </w:rPr>
              <w:t>修读其他专业本科课程或微专业</w:t>
            </w:r>
          </w:p>
        </w:tc>
        <w:tc>
          <w:tcPr>
            <w:tcW w:w="1017" w:type="dxa"/>
            <w:vAlign w:val="center"/>
          </w:tcPr>
          <w:p>
            <w:pPr>
              <w:rPr>
                <w:sz w:val="18"/>
                <w:szCs w:val="18"/>
              </w:rPr>
            </w:pPr>
            <w:r>
              <w:rPr>
                <w:rFonts w:hint="eastAsia"/>
                <w:sz w:val="16"/>
                <w:szCs w:val="16"/>
              </w:rPr>
              <w:t>第</w:t>
            </w:r>
            <w:r>
              <w:rPr>
                <w:sz w:val="16"/>
                <w:szCs w:val="16"/>
              </w:rPr>
              <w:t>5-6</w:t>
            </w:r>
            <w:r>
              <w:rPr>
                <w:rFonts w:hint="eastAsia"/>
                <w:sz w:val="16"/>
                <w:szCs w:val="16"/>
              </w:rPr>
              <w:t>学期</w:t>
            </w:r>
          </w:p>
        </w:tc>
        <w:tc>
          <w:tcPr>
            <w:tcW w:w="926" w:type="dxa"/>
            <w:vAlign w:val="center"/>
          </w:tcPr>
          <w:p>
            <w:pPr>
              <w:rPr>
                <w:sz w:val="18"/>
                <w:szCs w:val="18"/>
              </w:rPr>
            </w:pPr>
          </w:p>
        </w:tc>
        <w:tc>
          <w:tcPr>
            <w:tcW w:w="2268" w:type="dxa"/>
            <w:shd w:val="clear" w:color="auto" w:fill="auto"/>
            <w:vAlign w:val="center"/>
          </w:tcPr>
          <w:p>
            <w:pPr>
              <w:rPr>
                <w:sz w:val="18"/>
                <w:szCs w:val="18"/>
              </w:rPr>
            </w:pPr>
            <w:r>
              <w:rPr>
                <w:rFonts w:hint="eastAsia"/>
                <w:sz w:val="18"/>
                <w:szCs w:val="18"/>
              </w:rPr>
              <w:t xml:space="preserve">1.内嵌定制类微专业（理科）                 </w:t>
            </w:r>
            <w:r>
              <w:rPr>
                <w:sz w:val="18"/>
                <w:szCs w:val="18"/>
              </w:rPr>
              <w:br w:type="textWrapping"/>
            </w:r>
            <w:r>
              <w:rPr>
                <w:rFonts w:hint="eastAsia"/>
                <w:sz w:val="18"/>
                <w:szCs w:val="18"/>
              </w:rPr>
              <w:t xml:space="preserve">2.专业指定限选（文科）   </w:t>
            </w:r>
          </w:p>
          <w:p>
            <w:pPr>
              <w:rPr>
                <w:sz w:val="18"/>
                <w:szCs w:val="18"/>
              </w:rPr>
            </w:pPr>
            <w:r>
              <w:rPr>
                <w:rFonts w:hint="eastAsia"/>
                <w:sz w:val="18"/>
                <w:szCs w:val="18"/>
              </w:rPr>
              <w:t xml:space="preserve">3.内嵌其他微专业（其他师范类专业）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restart"/>
            <w:shd w:val="clear" w:color="auto" w:fill="auto"/>
            <w:vAlign w:val="center"/>
          </w:tcPr>
          <w:p>
            <w:pPr>
              <w:jc w:val="center"/>
              <w:rPr>
                <w:rFonts w:hint="eastAsia" w:eastAsia="宋体"/>
                <w:sz w:val="18"/>
                <w:szCs w:val="18"/>
                <w:lang w:val="en-US" w:eastAsia="zh-CN"/>
              </w:rPr>
            </w:pPr>
            <w:r>
              <w:rPr>
                <w:rFonts w:hint="eastAsia"/>
                <w:sz w:val="18"/>
                <w:szCs w:val="18"/>
                <w:lang w:val="en-US" w:eastAsia="zh-CN"/>
              </w:rPr>
              <w:t>必修</w:t>
            </w:r>
          </w:p>
        </w:tc>
        <w:tc>
          <w:tcPr>
            <w:tcW w:w="1075" w:type="dxa"/>
            <w:vMerge w:val="restart"/>
            <w:shd w:val="clear" w:color="auto" w:fill="auto"/>
            <w:vAlign w:val="center"/>
          </w:tcPr>
          <w:p>
            <w:pPr>
              <w:jc w:val="center"/>
              <w:rPr>
                <w:rFonts w:hint="default" w:eastAsia="宋体"/>
                <w:b/>
                <w:bCs/>
                <w:sz w:val="18"/>
                <w:szCs w:val="18"/>
                <w:lang w:val="en-US" w:eastAsia="zh-CN"/>
              </w:rPr>
            </w:pPr>
            <w:r>
              <w:rPr>
                <w:rFonts w:hint="eastAsia"/>
                <w:b/>
                <w:bCs/>
                <w:sz w:val="18"/>
                <w:szCs w:val="18"/>
                <w:lang w:val="en-US" w:eastAsia="zh-CN"/>
              </w:rPr>
              <w:t>化学</w:t>
            </w:r>
          </w:p>
        </w:tc>
        <w:tc>
          <w:tcPr>
            <w:tcW w:w="2327" w:type="dxa"/>
            <w:shd w:val="clear" w:color="auto" w:fill="auto"/>
            <w:vAlign w:val="bottom"/>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化学学科研究进展</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普通化学原理基础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改变世界的化学</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restart"/>
            <w:shd w:val="clear" w:color="auto" w:fill="auto"/>
            <w:vAlign w:val="center"/>
          </w:tcPr>
          <w:p>
            <w:pPr>
              <w:jc w:val="center"/>
              <w:rPr>
                <w:rFonts w:hint="eastAsia" w:eastAsia="宋体"/>
                <w:b/>
                <w:bCs/>
                <w:sz w:val="18"/>
                <w:szCs w:val="18"/>
                <w:lang w:val="en-US" w:eastAsia="zh-CN"/>
              </w:rPr>
            </w:pPr>
            <w:r>
              <w:rPr>
                <w:rFonts w:hint="eastAsia"/>
                <w:b/>
                <w:bCs/>
                <w:sz w:val="18"/>
                <w:szCs w:val="18"/>
                <w:lang w:val="en-US" w:eastAsia="zh-CN"/>
              </w:rPr>
              <w:t>生物</w:t>
            </w: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人体结构与功能学（二选一）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遗传与进化（二选一）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细胞工程与基因工程及应用</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微生物学与免疫学及应用</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人体结构与功能学（二选一）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restart"/>
            <w:shd w:val="clear" w:color="auto" w:fill="auto"/>
            <w:vAlign w:val="center"/>
          </w:tcPr>
          <w:p>
            <w:pPr>
              <w:jc w:val="center"/>
              <w:rPr>
                <w:rFonts w:hint="eastAsia" w:eastAsia="宋体"/>
                <w:b/>
                <w:bCs/>
                <w:sz w:val="18"/>
                <w:szCs w:val="18"/>
                <w:lang w:val="en-US" w:eastAsia="zh-CN"/>
              </w:rPr>
            </w:pPr>
            <w:r>
              <w:rPr>
                <w:rFonts w:hint="eastAsia"/>
                <w:b/>
                <w:bCs/>
                <w:sz w:val="18"/>
                <w:szCs w:val="18"/>
                <w:lang w:val="en-US" w:eastAsia="zh-CN"/>
              </w:rPr>
              <w:t>地理</w:t>
            </w: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地球科学</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人文地理学</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地图学与地理信息系统概论</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restart"/>
            <w:shd w:val="clear" w:color="auto" w:fill="auto"/>
            <w:vAlign w:val="center"/>
          </w:tcPr>
          <w:p>
            <w:pPr>
              <w:jc w:val="center"/>
              <w:rPr>
                <w:rFonts w:hint="eastAsia" w:eastAsia="宋体"/>
                <w:b/>
                <w:bCs/>
                <w:sz w:val="18"/>
                <w:szCs w:val="18"/>
                <w:lang w:val="en-US" w:eastAsia="zh-CN"/>
              </w:rPr>
            </w:pPr>
            <w:r>
              <w:rPr>
                <w:rFonts w:hint="eastAsia"/>
                <w:b/>
                <w:bCs/>
                <w:sz w:val="18"/>
                <w:szCs w:val="18"/>
                <w:lang w:val="en-US" w:eastAsia="zh-CN"/>
              </w:rPr>
              <w:t>物理</w:t>
            </w: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物理学科研究进展</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热力学与统计物理</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物理学史与物理学方法论（二选一）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59" w:type="dxa"/>
            <w:vMerge w:val="continue"/>
            <w:shd w:val="clear" w:color="auto" w:fill="auto"/>
            <w:vAlign w:val="center"/>
          </w:tcPr>
          <w:p>
            <w:pPr>
              <w:jc w:val="center"/>
              <w:rPr>
                <w:rFonts w:hint="eastAsia"/>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bottom"/>
          </w:tcPr>
          <w:p>
            <w:pPr>
              <w:rPr>
                <w:rFonts w:hint="eastAsia" w:ascii="宋体" w:hAnsi="宋体" w:eastAsia="宋体" w:cs="宋体"/>
                <w:b/>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物理演示创新实验探究（二选一）</w:t>
            </w:r>
          </w:p>
        </w:tc>
        <w:tc>
          <w:tcPr>
            <w:tcW w:w="1017" w:type="dxa"/>
            <w:shd w:val="clear" w:color="auto" w:fill="auto"/>
            <w:vAlign w:val="bottom"/>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restart"/>
            <w:shd w:val="clear" w:color="auto" w:fill="auto"/>
            <w:vAlign w:val="center"/>
          </w:tcPr>
          <w:p>
            <w:pPr>
              <w:jc w:val="center"/>
              <w:rPr>
                <w:b/>
                <w:bCs/>
                <w:sz w:val="18"/>
                <w:szCs w:val="18"/>
              </w:rPr>
            </w:pPr>
          </w:p>
          <w:p>
            <w:pPr>
              <w:jc w:val="center"/>
              <w:rPr>
                <w:rFonts w:hint="default" w:eastAsia="宋体"/>
                <w:b/>
                <w:bCs/>
                <w:sz w:val="18"/>
                <w:szCs w:val="18"/>
                <w:lang w:val="en-US" w:eastAsia="zh-CN"/>
              </w:rPr>
            </w:pPr>
            <w:r>
              <w:rPr>
                <w:rFonts w:hint="eastAsia"/>
                <w:b/>
                <w:bCs/>
                <w:sz w:val="18"/>
                <w:szCs w:val="18"/>
                <w:lang w:val="en-US" w:eastAsia="zh-CN"/>
              </w:rPr>
              <w:t>专业教育课程（78）</w:t>
            </w:r>
          </w:p>
        </w:tc>
        <w:tc>
          <w:tcPr>
            <w:tcW w:w="1456" w:type="dxa"/>
            <w:gridSpan w:val="2"/>
            <w:vMerge w:val="restart"/>
            <w:shd w:val="clear" w:color="auto" w:fill="auto"/>
            <w:vAlign w:val="center"/>
          </w:tcPr>
          <w:p>
            <w:pPr>
              <w:jc w:val="center"/>
              <w:rPr>
                <w:b/>
                <w:bCs/>
                <w:sz w:val="18"/>
                <w:szCs w:val="18"/>
              </w:rPr>
            </w:pPr>
            <w:r>
              <w:rPr>
                <w:rFonts w:hint="eastAsia"/>
                <w:b/>
                <w:bCs/>
                <w:sz w:val="18"/>
                <w:szCs w:val="18"/>
              </w:rPr>
              <w:t>学科专业类课程</w:t>
            </w:r>
          </w:p>
          <w:p>
            <w:pPr>
              <w:jc w:val="center"/>
              <w:rPr>
                <w:b/>
                <w:bCs/>
                <w:sz w:val="18"/>
                <w:szCs w:val="18"/>
              </w:rPr>
            </w:pPr>
            <w:r>
              <w:rPr>
                <w:rFonts w:hint="eastAsia"/>
                <w:b/>
                <w:bCs/>
                <w:sz w:val="18"/>
                <w:szCs w:val="18"/>
              </w:rPr>
              <w:t>（本科层次）</w:t>
            </w:r>
          </w:p>
        </w:tc>
        <w:tc>
          <w:tcPr>
            <w:tcW w:w="756" w:type="dxa"/>
            <w:vMerge w:val="restart"/>
            <w:shd w:val="clear" w:color="auto" w:fill="auto"/>
            <w:vAlign w:val="center"/>
          </w:tcPr>
          <w:p>
            <w:pPr>
              <w:jc w:val="center"/>
              <w:rPr>
                <w:rFonts w:hint="default" w:eastAsia="宋体"/>
                <w:sz w:val="18"/>
                <w:szCs w:val="18"/>
                <w:lang w:val="en-US" w:eastAsia="zh-CN"/>
              </w:rPr>
            </w:pPr>
            <w:r>
              <w:rPr>
                <w:rFonts w:hint="eastAsia"/>
                <w:sz w:val="18"/>
                <w:szCs w:val="18"/>
              </w:rPr>
              <w:t>必修</w:t>
            </w:r>
            <w:r>
              <w:rPr>
                <w:rFonts w:hint="eastAsia"/>
                <w:sz w:val="18"/>
                <w:szCs w:val="18"/>
                <w:lang w:eastAsia="zh-CN"/>
              </w:rPr>
              <w:t>（</w:t>
            </w:r>
            <w:r>
              <w:rPr>
                <w:rFonts w:hint="eastAsia"/>
                <w:sz w:val="18"/>
                <w:szCs w:val="18"/>
                <w:lang w:val="en-US" w:eastAsia="zh-CN"/>
              </w:rPr>
              <w:t>49）</w:t>
            </w:r>
          </w:p>
        </w:tc>
        <w:tc>
          <w:tcPr>
            <w:tcW w:w="1075" w:type="dxa"/>
            <w:vMerge w:val="restart"/>
            <w:shd w:val="clear" w:color="auto" w:fill="auto"/>
            <w:vAlign w:val="center"/>
          </w:tcPr>
          <w:p>
            <w:pPr>
              <w:jc w:val="center"/>
              <w:rPr>
                <w:sz w:val="16"/>
                <w:szCs w:val="16"/>
              </w:rPr>
            </w:pPr>
            <w:r>
              <w:rPr>
                <w:rFonts w:hint="eastAsia"/>
                <w:b/>
                <w:bCs/>
                <w:sz w:val="16"/>
                <w:szCs w:val="16"/>
              </w:rPr>
              <w:t>各专业不同</w:t>
            </w:r>
            <w:r>
              <w:rPr>
                <w:rFonts w:hint="eastAsia"/>
                <w:sz w:val="16"/>
                <w:szCs w:val="16"/>
              </w:rPr>
              <w:t>（以数学为例，68学分）</w:t>
            </w:r>
          </w:p>
        </w:tc>
        <w:tc>
          <w:tcPr>
            <w:tcW w:w="2327" w:type="dxa"/>
            <w:shd w:val="clear" w:color="auto" w:fill="auto"/>
            <w:vAlign w:val="center"/>
          </w:tcPr>
          <w:p>
            <w:pPr>
              <w:rPr>
                <w:rFonts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数学分析I</w:t>
            </w:r>
          </w:p>
        </w:tc>
        <w:tc>
          <w:tcPr>
            <w:tcW w:w="1017" w:type="dxa"/>
            <w:shd w:val="clear" w:color="auto" w:fill="auto"/>
            <w:vAlign w:val="center"/>
          </w:tcPr>
          <w:p>
            <w:pPr>
              <w:rPr>
                <w:rFonts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第1学期</w:t>
            </w:r>
          </w:p>
        </w:tc>
        <w:tc>
          <w:tcPr>
            <w:tcW w:w="926" w:type="dxa"/>
            <w:shd w:val="clear" w:color="auto" w:fill="auto"/>
            <w:vAlign w:val="center"/>
          </w:tcPr>
          <w:p>
            <w:pPr>
              <w:rPr>
                <w:rFonts w:ascii="宋体" w:hAnsi="宋体" w:eastAsia="宋体" w:cs="宋体"/>
                <w:color w:val="000000" w:themeColor="text1"/>
                <w:sz w:val="16"/>
                <w:szCs w:val="16"/>
                <w:lang w:val="en-US" w:eastAsia="zh-CN" w:bidi="ar-SA"/>
                <w14:textFill>
                  <w14:solidFill>
                    <w14:schemeClr w14:val="tx1"/>
                  </w14:solidFill>
                </w14:textFill>
              </w:rPr>
            </w:pPr>
          </w:p>
        </w:tc>
        <w:tc>
          <w:tcPr>
            <w:tcW w:w="2268" w:type="dxa"/>
            <w:shd w:val="clear" w:color="auto" w:fill="auto"/>
            <w:noWrap/>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高等代数I</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第1学期</w:t>
            </w:r>
          </w:p>
        </w:tc>
        <w:tc>
          <w:tcPr>
            <w:tcW w:w="926" w:type="dxa"/>
            <w:shd w:val="clear" w:color="auto" w:fill="auto"/>
            <w:vAlign w:val="center"/>
          </w:tcPr>
          <w:p>
            <w:pPr>
              <w:rPr>
                <w:rFonts w:ascii="宋体" w:hAnsi="宋体" w:eastAsia="宋体" w:cs="宋体"/>
                <w:color w:val="000000" w:themeColor="text1"/>
                <w:sz w:val="16"/>
                <w:szCs w:val="16"/>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数学分析II</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2</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高等代数II</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2</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解析几何</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2</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数学分析III</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3</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代数学I</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3</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常微分方程</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3</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实分析</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4</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概率统计初步</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4</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数学实验与建模</w:t>
            </w:r>
          </w:p>
        </w:tc>
        <w:tc>
          <w:tcPr>
            <w:tcW w:w="1017" w:type="dxa"/>
            <w:shd w:val="clear" w:color="auto" w:fill="auto"/>
            <w:vAlign w:val="top"/>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4</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复分析</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5</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default"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现代数论</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5</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restart"/>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选修（17）</w:t>
            </w: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泛函分析</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5</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大学物理B（一）</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第3学期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大学物理B（二）</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第4学期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rFonts w:hint="eastAsia"/>
                <w:b/>
                <w:bCs/>
                <w:sz w:val="16"/>
                <w:szCs w:val="16"/>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大学物理实验B</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第4学期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rFonts w:hint="eastAsia"/>
                <w:b/>
                <w:bCs/>
                <w:sz w:val="16"/>
                <w:szCs w:val="16"/>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组合与运筹</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6</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shd w:val="clear" w:color="auto" w:fill="auto"/>
            <w:vAlign w:val="center"/>
          </w:tcPr>
          <w:p>
            <w:pPr>
              <w:jc w:val="center"/>
              <w:rPr>
                <w:rFonts w:hint="eastAsia"/>
                <w:b/>
                <w:bCs/>
                <w:sz w:val="16"/>
                <w:szCs w:val="16"/>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6"/>
                <w:szCs w:val="16"/>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数学非师范方向专业选修</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26" w:type="dxa"/>
            <w:shd w:val="clear" w:color="auto" w:fill="auto"/>
            <w:vAlign w:val="center"/>
          </w:tcPr>
          <w:p>
            <w:pPr>
              <w:rPr>
                <w:rFonts w:ascii="等线" w:hAnsi="等线" w:eastAsia="等线" w:cs="宋体"/>
                <w:color w:val="000000" w:themeColor="text1"/>
                <w:sz w:val="22"/>
                <w:szCs w:val="22"/>
                <w:lang w:val="en-US" w:eastAsia="zh-CN" w:bidi="ar-SA"/>
                <w14:textFill>
                  <w14:solidFill>
                    <w14:schemeClr w14:val="tx1"/>
                  </w14:solidFill>
                </w14:textFill>
              </w:rPr>
            </w:pPr>
          </w:p>
        </w:tc>
        <w:tc>
          <w:tcPr>
            <w:tcW w:w="2268" w:type="dxa"/>
            <w:shd w:val="clear" w:color="auto" w:fill="auto"/>
            <w:noWrap/>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restart"/>
            <w:shd w:val="clear" w:color="auto" w:fill="auto"/>
            <w:vAlign w:val="center"/>
          </w:tcPr>
          <w:p>
            <w:pPr>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学科专业类课程</w:t>
            </w:r>
          </w:p>
          <w:p>
            <w:pPr>
              <w:jc w:val="center"/>
              <w:rPr>
                <w:b/>
                <w:bCs/>
                <w:sz w:val="18"/>
                <w:szCs w:val="18"/>
              </w:rPr>
            </w:pPr>
            <w:r>
              <w:rPr>
                <w:rFonts w:hint="eastAsia"/>
                <w:b/>
                <w:bCs/>
                <w:color w:val="000000" w:themeColor="text1"/>
                <w:sz w:val="18"/>
                <w:szCs w:val="18"/>
                <w14:textFill>
                  <w14:solidFill>
                    <w14:schemeClr w14:val="tx1"/>
                  </w14:solidFill>
                </w14:textFill>
              </w:rPr>
              <w:t>（研究生层次）</w:t>
            </w:r>
          </w:p>
        </w:tc>
        <w:tc>
          <w:tcPr>
            <w:tcW w:w="756" w:type="dxa"/>
            <w:vMerge w:val="restart"/>
            <w:shd w:val="clear" w:color="auto" w:fill="auto"/>
            <w:vAlign w:val="center"/>
          </w:tcPr>
          <w:p>
            <w:pPr>
              <w:jc w:val="center"/>
              <w:rPr>
                <w:sz w:val="18"/>
                <w:szCs w:val="18"/>
              </w:rPr>
            </w:pPr>
            <w:r>
              <w:rPr>
                <w:rFonts w:hint="eastAsia"/>
                <w:sz w:val="18"/>
                <w:szCs w:val="18"/>
              </w:rPr>
              <w:t>必修</w:t>
            </w:r>
          </w:p>
        </w:tc>
        <w:tc>
          <w:tcPr>
            <w:tcW w:w="1075" w:type="dxa"/>
            <w:shd w:val="clear" w:color="auto" w:fill="auto"/>
            <w:vAlign w:val="center"/>
          </w:tcPr>
          <w:p>
            <w:pPr>
              <w:jc w:val="center"/>
              <w:rPr>
                <w:b/>
                <w:bCs/>
                <w:sz w:val="18"/>
                <w:szCs w:val="18"/>
              </w:rPr>
            </w:pPr>
            <w:r>
              <w:rPr>
                <w:rFonts w:hint="eastAsia"/>
                <w:b/>
                <w:bCs/>
                <w:sz w:val="18"/>
                <w:szCs w:val="18"/>
              </w:rPr>
              <w:t>10</w:t>
            </w:r>
          </w:p>
        </w:tc>
        <w:tc>
          <w:tcPr>
            <w:tcW w:w="2327" w:type="dxa"/>
            <w:shd w:val="clear" w:color="auto" w:fill="auto"/>
            <w:vAlign w:val="center"/>
          </w:tcPr>
          <w:p>
            <w:pPr>
              <w:rPr>
                <w:b/>
                <w:bCs/>
                <w:sz w:val="18"/>
                <w:szCs w:val="18"/>
              </w:rPr>
            </w:pPr>
            <w:r>
              <w:rPr>
                <w:rFonts w:hint="eastAsia"/>
                <w:b/>
                <w:bCs/>
                <w:sz w:val="18"/>
                <w:szCs w:val="18"/>
              </w:rPr>
              <w:t>基本完成本专业学位基础课程，修读部分专业课程</w:t>
            </w:r>
          </w:p>
        </w:tc>
        <w:tc>
          <w:tcPr>
            <w:tcW w:w="1017" w:type="dxa"/>
            <w:vAlign w:val="center"/>
          </w:tcPr>
          <w:p>
            <w:pPr>
              <w:rPr>
                <w:rFonts w:ascii="等线" w:hAnsi="等线" w:eastAsia="等线"/>
                <w:sz w:val="22"/>
                <w:szCs w:val="22"/>
              </w:rPr>
            </w:pPr>
            <w:r>
              <w:rPr>
                <w:rFonts w:hint="eastAsia"/>
                <w:sz w:val="16"/>
                <w:szCs w:val="16"/>
              </w:rPr>
              <w:t>第7-</w:t>
            </w:r>
            <w:r>
              <w:rPr>
                <w:sz w:val="16"/>
                <w:szCs w:val="16"/>
              </w:rPr>
              <w:t>11</w:t>
            </w:r>
            <w:r>
              <w:rPr>
                <w:rFonts w:hint="eastAsia"/>
                <w:sz w:val="16"/>
                <w:szCs w:val="16"/>
              </w:rPr>
              <w:t>学期</w:t>
            </w:r>
          </w:p>
        </w:tc>
        <w:tc>
          <w:tcPr>
            <w:tcW w:w="926" w:type="dxa"/>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restart"/>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偏微分方程</w:t>
            </w:r>
          </w:p>
        </w:tc>
        <w:tc>
          <w:tcPr>
            <w:tcW w:w="1017" w:type="dxa"/>
            <w:vAlign w:val="center"/>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center"/>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概率论</w:t>
            </w:r>
          </w:p>
        </w:tc>
        <w:tc>
          <w:tcPr>
            <w:tcW w:w="1017" w:type="dxa"/>
            <w:vAlign w:val="top"/>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top"/>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代数学（I）</w:t>
            </w:r>
          </w:p>
        </w:tc>
        <w:tc>
          <w:tcPr>
            <w:tcW w:w="1017" w:type="dxa"/>
            <w:vAlign w:val="top"/>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top"/>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实分析与复分析（I）</w:t>
            </w:r>
          </w:p>
        </w:tc>
        <w:tc>
          <w:tcPr>
            <w:tcW w:w="1017" w:type="dxa"/>
            <w:vAlign w:val="top"/>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top"/>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几何与拓扑（I）</w:t>
            </w:r>
          </w:p>
        </w:tc>
        <w:tc>
          <w:tcPr>
            <w:tcW w:w="1017" w:type="dxa"/>
            <w:vAlign w:val="top"/>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top"/>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9" w:type="dxa"/>
            <w:vMerge w:val="continue"/>
            <w:vAlign w:val="center"/>
          </w:tcPr>
          <w:p>
            <w:pPr>
              <w:rPr>
                <w:b/>
                <w:bCs/>
                <w:sz w:val="18"/>
                <w:szCs w:val="18"/>
              </w:rPr>
            </w:pPr>
          </w:p>
        </w:tc>
        <w:tc>
          <w:tcPr>
            <w:tcW w:w="1456" w:type="dxa"/>
            <w:gridSpan w:val="2"/>
            <w:vMerge w:val="continue"/>
            <w:shd w:val="clear" w:color="auto" w:fill="auto"/>
            <w:vAlign w:val="center"/>
          </w:tcPr>
          <w:p>
            <w:pPr>
              <w:jc w:val="center"/>
              <w:rPr>
                <w:rFonts w:hint="eastAsia"/>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科学计算</w:t>
            </w:r>
          </w:p>
        </w:tc>
        <w:tc>
          <w:tcPr>
            <w:tcW w:w="1017" w:type="dxa"/>
            <w:vAlign w:val="top"/>
          </w:tcPr>
          <w:p>
            <w:pPr>
              <w:rPr>
                <w:rFonts w:hint="eastAsia"/>
                <w:sz w:val="16"/>
                <w:szCs w:val="16"/>
              </w:rPr>
            </w:pPr>
            <w:r>
              <w:rPr>
                <w:rFonts w:hint="eastAsia"/>
                <w:color w:val="000000" w:themeColor="text1"/>
                <w:sz w:val="16"/>
                <w:szCs w:val="16"/>
                <w14:textFill>
                  <w14:solidFill>
                    <w14:schemeClr w14:val="tx1"/>
                  </w14:solidFill>
                </w14:textFill>
              </w:rPr>
              <w:t>第7学期</w:t>
            </w:r>
          </w:p>
        </w:tc>
        <w:tc>
          <w:tcPr>
            <w:tcW w:w="926" w:type="dxa"/>
            <w:vAlign w:val="center"/>
          </w:tcPr>
          <w:p>
            <w:pPr>
              <w:rPr>
                <w:rFonts w:ascii="等线" w:hAnsi="等线" w:eastAsia="等线"/>
                <w:sz w:val="22"/>
                <w:szCs w:val="22"/>
              </w:rPr>
            </w:pPr>
          </w:p>
        </w:tc>
        <w:tc>
          <w:tcPr>
            <w:tcW w:w="2268" w:type="dxa"/>
            <w:shd w:val="clear" w:color="auto" w:fill="auto"/>
            <w:noWrap/>
            <w:vAlign w:val="top"/>
          </w:tcPr>
          <w:p>
            <w:pPr>
              <w:rPr>
                <w:rFonts w:ascii="等线" w:hAnsi="等线" w:eastAsia="等线"/>
                <w:sz w:val="22"/>
                <w:szCs w:val="22"/>
              </w:rPr>
            </w:pPr>
            <w:r>
              <w:rPr>
                <w:rFonts w:hint="eastAsia"/>
                <w:color w:val="000000" w:themeColor="text1"/>
                <w:sz w:val="18"/>
                <w:szCs w:val="18"/>
                <w14:textFill>
                  <w14:solidFill>
                    <w14:schemeClr w14:val="tx1"/>
                  </w14:solidFill>
                </w14:textFill>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restart"/>
            <w:shd w:val="clear" w:color="auto" w:fill="auto"/>
            <w:vAlign w:val="center"/>
          </w:tcPr>
          <w:p>
            <w:pPr>
              <w:jc w:val="center"/>
              <w:rPr>
                <w:b/>
                <w:bCs/>
                <w:sz w:val="18"/>
                <w:szCs w:val="18"/>
              </w:rPr>
            </w:pPr>
            <w:r>
              <w:rPr>
                <w:rFonts w:hint="eastAsia"/>
                <w:b/>
                <w:bCs/>
                <w:sz w:val="18"/>
                <w:szCs w:val="18"/>
              </w:rPr>
              <w:t xml:space="preserve">教师教育课程       </w:t>
            </w:r>
            <w:r>
              <w:rPr>
                <w:rFonts w:hint="eastAsia"/>
                <w:b/>
                <w:bCs/>
                <w:sz w:val="16"/>
                <w:szCs w:val="16"/>
              </w:rPr>
              <w:t>(</w:t>
            </w:r>
            <w:r>
              <w:rPr>
                <w:rFonts w:hint="eastAsia"/>
                <w:b/>
                <w:bCs/>
                <w:sz w:val="16"/>
                <w:szCs w:val="16"/>
                <w:lang w:val="en-US" w:eastAsia="zh-CN"/>
              </w:rPr>
              <w:t>38</w:t>
            </w:r>
            <w:r>
              <w:rPr>
                <w:rFonts w:hint="eastAsia"/>
                <w:b/>
                <w:bCs/>
                <w:sz w:val="16"/>
                <w:szCs w:val="16"/>
              </w:rPr>
              <w:t>学分)</w:t>
            </w:r>
          </w:p>
        </w:tc>
        <w:tc>
          <w:tcPr>
            <w:tcW w:w="1456" w:type="dxa"/>
            <w:gridSpan w:val="2"/>
            <w:vMerge w:val="restart"/>
            <w:shd w:val="clear" w:color="auto" w:fill="auto"/>
            <w:vAlign w:val="center"/>
          </w:tcPr>
          <w:p>
            <w:pPr>
              <w:jc w:val="center"/>
              <w:rPr>
                <w:b/>
                <w:bCs/>
                <w:sz w:val="18"/>
                <w:szCs w:val="18"/>
              </w:rPr>
            </w:pPr>
            <w:r>
              <w:rPr>
                <w:rFonts w:hint="eastAsia"/>
                <w:b/>
                <w:bCs/>
                <w:sz w:val="18"/>
                <w:szCs w:val="18"/>
              </w:rPr>
              <w:t>学位基础课程</w:t>
            </w:r>
          </w:p>
        </w:tc>
        <w:tc>
          <w:tcPr>
            <w:tcW w:w="756" w:type="dxa"/>
            <w:vMerge w:val="restart"/>
            <w:shd w:val="clear" w:color="auto" w:fill="auto"/>
            <w:vAlign w:val="center"/>
          </w:tcPr>
          <w:p>
            <w:pPr>
              <w:jc w:val="center"/>
              <w:rPr>
                <w:sz w:val="18"/>
                <w:szCs w:val="18"/>
              </w:rPr>
            </w:pPr>
            <w:r>
              <w:rPr>
                <w:rFonts w:hint="eastAsia"/>
                <w:sz w:val="18"/>
                <w:szCs w:val="18"/>
              </w:rPr>
              <w:t>必修</w:t>
            </w:r>
          </w:p>
        </w:tc>
        <w:tc>
          <w:tcPr>
            <w:tcW w:w="1075" w:type="dxa"/>
            <w:vMerge w:val="restart"/>
            <w:shd w:val="clear" w:color="auto" w:fill="auto"/>
            <w:vAlign w:val="center"/>
          </w:tcPr>
          <w:p>
            <w:pPr>
              <w:jc w:val="center"/>
              <w:rPr>
                <w:b/>
                <w:bCs/>
                <w:sz w:val="18"/>
                <w:szCs w:val="18"/>
              </w:rPr>
            </w:pPr>
            <w:r>
              <w:rPr>
                <w:rFonts w:hint="eastAsia"/>
                <w:b/>
                <w:bCs/>
                <w:sz w:val="18"/>
                <w:szCs w:val="18"/>
              </w:rPr>
              <w:t>9</w:t>
            </w:r>
          </w:p>
        </w:tc>
        <w:tc>
          <w:tcPr>
            <w:tcW w:w="2327" w:type="dxa"/>
            <w:shd w:val="clear" w:color="auto" w:fill="auto"/>
            <w:vAlign w:val="center"/>
          </w:tcPr>
          <w:p>
            <w:pPr>
              <w:rPr>
                <w:b/>
                <w:bCs/>
                <w:sz w:val="18"/>
                <w:szCs w:val="18"/>
              </w:rPr>
            </w:pPr>
            <w:r>
              <w:rPr>
                <w:rFonts w:hint="eastAsia"/>
                <w:b/>
                <w:bCs/>
                <w:sz w:val="18"/>
                <w:szCs w:val="18"/>
              </w:rPr>
              <w:t>教育原理</w:t>
            </w:r>
          </w:p>
        </w:tc>
        <w:tc>
          <w:tcPr>
            <w:tcW w:w="1017" w:type="dxa"/>
            <w:vAlign w:val="center"/>
          </w:tcPr>
          <w:p>
            <w:pPr>
              <w:rPr>
                <w:sz w:val="18"/>
                <w:szCs w:val="18"/>
              </w:rPr>
            </w:pPr>
            <w:r>
              <w:rPr>
                <w:rFonts w:hint="eastAsia"/>
                <w:sz w:val="16"/>
                <w:szCs w:val="16"/>
              </w:rPr>
              <w:t>第</w:t>
            </w:r>
            <w:r>
              <w:rPr>
                <w:sz w:val="16"/>
                <w:szCs w:val="16"/>
              </w:rPr>
              <w:t>5</w:t>
            </w:r>
            <w:r>
              <w:rPr>
                <w:rFonts w:hint="eastAsia"/>
                <w:sz w:val="16"/>
                <w:szCs w:val="16"/>
              </w:rPr>
              <w:t>学期</w:t>
            </w:r>
          </w:p>
        </w:tc>
        <w:tc>
          <w:tcPr>
            <w:tcW w:w="926" w:type="dxa"/>
            <w:vAlign w:val="center"/>
          </w:tcPr>
          <w:p>
            <w:pPr>
              <w:rPr>
                <w:sz w:val="18"/>
                <w:szCs w:val="18"/>
              </w:rPr>
            </w:pPr>
            <w:r>
              <w:rPr>
                <w:rFonts w:hint="eastAsia"/>
                <w:sz w:val="18"/>
                <w:szCs w:val="18"/>
              </w:rPr>
              <w:t>教育学部</w:t>
            </w:r>
          </w:p>
        </w:tc>
        <w:tc>
          <w:tcPr>
            <w:tcW w:w="2268" w:type="dxa"/>
            <w:shd w:val="clear" w:color="auto" w:fill="auto"/>
            <w:noWrap/>
            <w:vAlign w:val="center"/>
          </w:tcPr>
          <w:p>
            <w:pPr>
              <w:rPr>
                <w:sz w:val="18"/>
                <w:szCs w:val="18"/>
              </w:rPr>
            </w:pPr>
            <w:r>
              <w:rPr>
                <w:rFonts w:hint="eastAsia"/>
                <w:sz w:val="18"/>
                <w:szCs w:val="18"/>
              </w:rPr>
              <w:t>2学分，覆盖原本科培养方案“教育学”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 xml:space="preserve">心理学 </w:t>
            </w:r>
          </w:p>
        </w:tc>
        <w:tc>
          <w:tcPr>
            <w:tcW w:w="1017" w:type="dxa"/>
            <w:vAlign w:val="center"/>
          </w:tcPr>
          <w:p>
            <w:pPr>
              <w:rPr>
                <w:sz w:val="18"/>
                <w:szCs w:val="18"/>
              </w:rPr>
            </w:pPr>
            <w:r>
              <w:rPr>
                <w:rFonts w:hint="eastAsia"/>
                <w:sz w:val="16"/>
                <w:szCs w:val="16"/>
              </w:rPr>
              <w:t>第</w:t>
            </w:r>
            <w:r>
              <w:rPr>
                <w:sz w:val="16"/>
                <w:szCs w:val="16"/>
              </w:rPr>
              <w:t>3</w:t>
            </w:r>
            <w:r>
              <w:rPr>
                <w:rFonts w:hint="eastAsia"/>
                <w:sz w:val="16"/>
                <w:szCs w:val="16"/>
              </w:rPr>
              <w:t>-</w:t>
            </w:r>
            <w:r>
              <w:rPr>
                <w:sz w:val="16"/>
                <w:szCs w:val="16"/>
              </w:rPr>
              <w:t>4</w:t>
            </w:r>
            <w:r>
              <w:rPr>
                <w:rFonts w:hint="eastAsia"/>
                <w:sz w:val="16"/>
                <w:szCs w:val="16"/>
              </w:rPr>
              <w:t>学期（文科及其他专业第</w:t>
            </w:r>
            <w:r>
              <w:rPr>
                <w:sz w:val="16"/>
                <w:szCs w:val="16"/>
              </w:rPr>
              <w:t>3学期；理科第4学期</w:t>
            </w:r>
            <w:r>
              <w:rPr>
                <w:rFonts w:hint="eastAsia"/>
                <w:sz w:val="16"/>
                <w:szCs w:val="16"/>
              </w:rPr>
              <w:t>）</w:t>
            </w:r>
          </w:p>
        </w:tc>
        <w:tc>
          <w:tcPr>
            <w:tcW w:w="926" w:type="dxa"/>
            <w:vAlign w:val="center"/>
          </w:tcPr>
          <w:p>
            <w:pPr>
              <w:rPr>
                <w:sz w:val="18"/>
                <w:szCs w:val="18"/>
              </w:rPr>
            </w:pPr>
            <w:r>
              <w:rPr>
                <w:rFonts w:hint="eastAsia"/>
                <w:sz w:val="18"/>
                <w:szCs w:val="18"/>
              </w:rPr>
              <w:t>心理学院</w:t>
            </w:r>
          </w:p>
        </w:tc>
        <w:tc>
          <w:tcPr>
            <w:tcW w:w="2268" w:type="dxa"/>
            <w:shd w:val="clear" w:color="auto" w:fill="auto"/>
            <w:vAlign w:val="center"/>
          </w:tcPr>
          <w:p>
            <w:pPr>
              <w:rPr>
                <w:sz w:val="18"/>
                <w:szCs w:val="18"/>
              </w:rPr>
            </w:pPr>
            <w:r>
              <w:rPr>
                <w:rFonts w:hint="eastAsia"/>
                <w:sz w:val="18"/>
                <w:szCs w:val="18"/>
              </w:rPr>
              <w:t>3学分，含教育心理学，覆盖原研究生方案“青少年心理发展与教育”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课程与教学论</w:t>
            </w:r>
          </w:p>
        </w:tc>
        <w:tc>
          <w:tcPr>
            <w:tcW w:w="1017" w:type="dxa"/>
            <w:vAlign w:val="center"/>
          </w:tcPr>
          <w:p>
            <w:pPr>
              <w:rPr>
                <w:sz w:val="18"/>
                <w:szCs w:val="18"/>
              </w:rPr>
            </w:pPr>
            <w:r>
              <w:rPr>
                <w:rFonts w:hint="eastAsia"/>
                <w:sz w:val="16"/>
                <w:szCs w:val="16"/>
              </w:rPr>
              <w:t>第</w:t>
            </w:r>
            <w:r>
              <w:rPr>
                <w:sz w:val="16"/>
                <w:szCs w:val="16"/>
              </w:rPr>
              <w:t>8</w:t>
            </w:r>
            <w:r>
              <w:rPr>
                <w:rFonts w:hint="eastAsia"/>
                <w:sz w:val="16"/>
                <w:szCs w:val="16"/>
              </w:rPr>
              <w:t>学期</w:t>
            </w:r>
          </w:p>
        </w:tc>
        <w:tc>
          <w:tcPr>
            <w:tcW w:w="926" w:type="dxa"/>
            <w:vAlign w:val="center"/>
          </w:tcPr>
          <w:p>
            <w:pPr>
              <w:rPr>
                <w:sz w:val="18"/>
                <w:szCs w:val="18"/>
              </w:rPr>
            </w:pPr>
            <w:r>
              <w:rPr>
                <w:rFonts w:hint="eastAsia"/>
                <w:sz w:val="18"/>
                <w:szCs w:val="18"/>
              </w:rPr>
              <w:t>教育学部</w:t>
            </w:r>
          </w:p>
        </w:tc>
        <w:tc>
          <w:tcPr>
            <w:tcW w:w="2268" w:type="dxa"/>
            <w:shd w:val="clear" w:color="auto" w:fill="auto"/>
            <w:noWrap/>
            <w:vAlign w:val="center"/>
          </w:tcPr>
          <w:p>
            <w:pPr>
              <w:rPr>
                <w:rFonts w:ascii="等线" w:hAnsi="等线" w:eastAsia="等线"/>
                <w:sz w:val="22"/>
                <w:szCs w:val="22"/>
              </w:rPr>
            </w:pPr>
            <w:r>
              <w:rPr>
                <w:rFonts w:hint="eastAsia"/>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教育研究方法</w:t>
            </w:r>
          </w:p>
        </w:tc>
        <w:tc>
          <w:tcPr>
            <w:tcW w:w="1017" w:type="dxa"/>
            <w:vAlign w:val="center"/>
          </w:tcPr>
          <w:p>
            <w:pPr>
              <w:rPr>
                <w:sz w:val="18"/>
                <w:szCs w:val="18"/>
              </w:rPr>
            </w:pPr>
            <w:r>
              <w:rPr>
                <w:rFonts w:hint="eastAsia"/>
                <w:sz w:val="16"/>
                <w:szCs w:val="16"/>
              </w:rPr>
              <w:t>第</w:t>
            </w:r>
            <w:r>
              <w:rPr>
                <w:sz w:val="16"/>
                <w:szCs w:val="16"/>
              </w:rPr>
              <w:t>10</w:t>
            </w:r>
            <w:r>
              <w:rPr>
                <w:rFonts w:hint="eastAsia"/>
                <w:sz w:val="16"/>
                <w:szCs w:val="16"/>
              </w:rPr>
              <w:t>学期</w:t>
            </w:r>
          </w:p>
        </w:tc>
        <w:tc>
          <w:tcPr>
            <w:tcW w:w="926" w:type="dxa"/>
            <w:vAlign w:val="center"/>
          </w:tcPr>
          <w:p>
            <w:pPr>
              <w:rPr>
                <w:sz w:val="18"/>
                <w:szCs w:val="18"/>
              </w:rPr>
            </w:pPr>
            <w:r>
              <w:rPr>
                <w:rFonts w:hint="eastAsia"/>
                <w:sz w:val="18"/>
                <w:szCs w:val="18"/>
              </w:rPr>
              <w:t>教育学部</w:t>
            </w:r>
          </w:p>
        </w:tc>
        <w:tc>
          <w:tcPr>
            <w:tcW w:w="2268" w:type="dxa"/>
            <w:shd w:val="clear" w:color="auto" w:fill="auto"/>
            <w:noWrap/>
            <w:vAlign w:val="center"/>
          </w:tcPr>
          <w:p>
            <w:pPr>
              <w:rPr>
                <w:rFonts w:ascii="等线" w:hAnsi="等线" w:eastAsia="等线"/>
                <w:sz w:val="22"/>
                <w:szCs w:val="22"/>
              </w:rPr>
            </w:pPr>
            <w:r>
              <w:rPr>
                <w:rFonts w:hint="eastAsia"/>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continue"/>
            <w:vAlign w:val="center"/>
          </w:tcPr>
          <w:p>
            <w:pPr>
              <w:rPr>
                <w:b/>
                <w:bCs/>
                <w:sz w:val="18"/>
                <w:szCs w:val="18"/>
              </w:rPr>
            </w:pPr>
          </w:p>
        </w:tc>
        <w:tc>
          <w:tcPr>
            <w:tcW w:w="1456" w:type="dxa"/>
            <w:gridSpan w:val="2"/>
            <w:vMerge w:val="restart"/>
            <w:shd w:val="clear" w:color="auto" w:fill="auto"/>
            <w:vAlign w:val="center"/>
          </w:tcPr>
          <w:p>
            <w:pPr>
              <w:jc w:val="center"/>
              <w:rPr>
                <w:b/>
                <w:bCs/>
                <w:sz w:val="18"/>
                <w:szCs w:val="18"/>
              </w:rPr>
            </w:pPr>
            <w:r>
              <w:rPr>
                <w:rFonts w:hint="eastAsia"/>
                <w:b/>
                <w:bCs/>
                <w:sz w:val="18"/>
                <w:szCs w:val="18"/>
              </w:rPr>
              <w:t>学科教育类课程</w:t>
            </w:r>
          </w:p>
        </w:tc>
        <w:tc>
          <w:tcPr>
            <w:tcW w:w="756" w:type="dxa"/>
            <w:vMerge w:val="restart"/>
            <w:shd w:val="clear" w:color="auto" w:fill="auto"/>
            <w:vAlign w:val="center"/>
          </w:tcPr>
          <w:p>
            <w:pPr>
              <w:jc w:val="center"/>
              <w:rPr>
                <w:sz w:val="18"/>
                <w:szCs w:val="18"/>
              </w:rPr>
            </w:pPr>
            <w:r>
              <w:rPr>
                <w:rFonts w:hint="eastAsia"/>
                <w:sz w:val="18"/>
                <w:szCs w:val="18"/>
              </w:rPr>
              <w:t>必修</w:t>
            </w:r>
          </w:p>
        </w:tc>
        <w:tc>
          <w:tcPr>
            <w:tcW w:w="1075" w:type="dxa"/>
            <w:vMerge w:val="restart"/>
            <w:shd w:val="clear" w:color="auto" w:fill="auto"/>
            <w:vAlign w:val="center"/>
          </w:tcPr>
          <w:p>
            <w:pPr>
              <w:jc w:val="center"/>
              <w:rPr>
                <w:rFonts w:hint="default" w:eastAsia="宋体"/>
                <w:b/>
                <w:bCs/>
                <w:sz w:val="18"/>
                <w:szCs w:val="18"/>
                <w:lang w:val="en-US" w:eastAsia="zh-CN"/>
              </w:rPr>
            </w:pPr>
            <w:r>
              <w:rPr>
                <w:rFonts w:hint="eastAsia"/>
                <w:b/>
                <w:bCs/>
                <w:sz w:val="18"/>
                <w:szCs w:val="18"/>
                <w:lang w:val="en-US" w:eastAsia="zh-CN"/>
              </w:rPr>
              <w:t>10</w:t>
            </w: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数学教学原理与方法</w:t>
            </w:r>
          </w:p>
        </w:tc>
        <w:tc>
          <w:tcPr>
            <w:tcW w:w="1017" w:type="dxa"/>
            <w:vAlign w:val="center"/>
          </w:tcPr>
          <w:p>
            <w:pPr>
              <w:rPr>
                <w:sz w:val="18"/>
                <w:szCs w:val="18"/>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5学期</w:t>
            </w:r>
          </w:p>
        </w:tc>
        <w:tc>
          <w:tcPr>
            <w:tcW w:w="926" w:type="dxa"/>
            <w:vAlign w:val="center"/>
          </w:tcPr>
          <w:p>
            <w:pPr>
              <w:rPr>
                <w:sz w:val="18"/>
                <w:szCs w:val="18"/>
              </w:rPr>
            </w:pPr>
          </w:p>
        </w:tc>
        <w:tc>
          <w:tcPr>
            <w:tcW w:w="2268" w:type="dxa"/>
            <w:shd w:val="clear" w:color="auto" w:fill="auto"/>
            <w:vAlign w:val="center"/>
          </w:tcPr>
          <w:p>
            <w:pPr>
              <w:rPr>
                <w:sz w:val="18"/>
                <w:szCs w:val="18"/>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数学课程标准解读与教材分析</w:t>
            </w:r>
          </w:p>
        </w:tc>
        <w:tc>
          <w:tcPr>
            <w:tcW w:w="1017" w:type="dxa"/>
            <w:vAlign w:val="center"/>
          </w:tcPr>
          <w:p>
            <w:pPr>
              <w:rPr>
                <w:sz w:val="18"/>
                <w:szCs w:val="18"/>
              </w:rPr>
            </w:pPr>
            <w:r>
              <w:rPr>
                <w:rFonts w:hint="eastAsia"/>
                <w:color w:val="000000" w:themeColor="text1"/>
                <w:sz w:val="16"/>
                <w:szCs w:val="16"/>
                <w14:textFill>
                  <w14:solidFill>
                    <w14:schemeClr w14:val="tx1"/>
                  </w14:solidFill>
                </w14:textFill>
              </w:rPr>
              <w:t>第6学期</w:t>
            </w:r>
          </w:p>
        </w:tc>
        <w:tc>
          <w:tcPr>
            <w:tcW w:w="926" w:type="dxa"/>
            <w:vAlign w:val="center"/>
          </w:tcPr>
          <w:p>
            <w:pPr>
              <w:rPr>
                <w:sz w:val="18"/>
                <w:szCs w:val="18"/>
              </w:rPr>
            </w:pPr>
          </w:p>
        </w:tc>
        <w:tc>
          <w:tcPr>
            <w:tcW w:w="2268" w:type="dxa"/>
            <w:shd w:val="clear" w:color="auto" w:fill="auto"/>
            <w:vAlign w:val="top"/>
          </w:tcPr>
          <w:p>
            <w:pPr>
              <w:rPr>
                <w:sz w:val="18"/>
                <w:szCs w:val="18"/>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数学教学设计</w:t>
            </w:r>
          </w:p>
        </w:tc>
        <w:tc>
          <w:tcPr>
            <w:tcW w:w="1017" w:type="dxa"/>
            <w:vAlign w:val="center"/>
          </w:tcPr>
          <w:p>
            <w:pPr>
              <w:rPr>
                <w:sz w:val="18"/>
                <w:szCs w:val="18"/>
              </w:rPr>
            </w:pPr>
            <w:r>
              <w:rPr>
                <w:rFonts w:hint="eastAsia"/>
                <w:color w:val="000000" w:themeColor="text1"/>
                <w:sz w:val="16"/>
                <w:szCs w:val="16"/>
                <w14:textFill>
                  <w14:solidFill>
                    <w14:schemeClr w14:val="tx1"/>
                  </w14:solidFill>
                </w14:textFill>
              </w:rPr>
              <w:t>第6学期</w:t>
            </w:r>
          </w:p>
        </w:tc>
        <w:tc>
          <w:tcPr>
            <w:tcW w:w="926" w:type="dxa"/>
            <w:vAlign w:val="center"/>
          </w:tcPr>
          <w:p>
            <w:pPr>
              <w:rPr>
                <w:sz w:val="18"/>
                <w:szCs w:val="18"/>
              </w:rPr>
            </w:pPr>
          </w:p>
        </w:tc>
        <w:tc>
          <w:tcPr>
            <w:tcW w:w="2268" w:type="dxa"/>
            <w:shd w:val="clear" w:color="auto" w:fill="auto"/>
            <w:noWrap/>
            <w:vAlign w:val="top"/>
          </w:tcPr>
          <w:p>
            <w:pPr>
              <w:rPr>
                <w:sz w:val="18"/>
                <w:szCs w:val="18"/>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数智环境下的教学设计基础</w:t>
            </w:r>
          </w:p>
        </w:tc>
        <w:tc>
          <w:tcPr>
            <w:tcW w:w="1017" w:type="dxa"/>
            <w:vAlign w:val="center"/>
          </w:tcPr>
          <w:p>
            <w:pPr>
              <w:rPr>
                <w:sz w:val="18"/>
                <w:szCs w:val="18"/>
              </w:rPr>
            </w:pPr>
            <w:r>
              <w:rPr>
                <w:rFonts w:hint="eastAsia"/>
                <w:color w:val="000000" w:themeColor="text1"/>
                <w:sz w:val="16"/>
                <w:szCs w:val="16"/>
                <w14:textFill>
                  <w14:solidFill>
                    <w14:schemeClr w14:val="tx1"/>
                  </w14:solidFill>
                </w14:textFill>
              </w:rPr>
              <w:t>第5-</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26" w:type="dxa"/>
            <w:vAlign w:val="center"/>
          </w:tcPr>
          <w:p>
            <w:pPr>
              <w:rPr>
                <w:sz w:val="18"/>
                <w:szCs w:val="18"/>
              </w:rPr>
            </w:pPr>
            <w:r>
              <w:rPr>
                <w:rFonts w:hint="eastAsia"/>
                <w:color w:val="000000" w:themeColor="text1"/>
                <w:sz w:val="18"/>
                <w:szCs w:val="18"/>
                <w14:textFill>
                  <w14:solidFill>
                    <w14:schemeClr w14:val="tx1"/>
                  </w14:solidFill>
                </w14:textFill>
              </w:rPr>
              <w:t>教师发展学院</w:t>
            </w:r>
          </w:p>
        </w:tc>
        <w:tc>
          <w:tcPr>
            <w:tcW w:w="2268" w:type="dxa"/>
            <w:shd w:val="clear" w:color="auto" w:fill="auto"/>
            <w:noWrap/>
            <w:vAlign w:val="center"/>
          </w:tcPr>
          <w:p>
            <w:pPr>
              <w:rPr>
                <w:sz w:val="18"/>
                <w:szCs w:val="18"/>
              </w:rPr>
            </w:pPr>
            <w:r>
              <w:rPr>
                <w:rFonts w:hint="eastAsia"/>
                <w:color w:val="000000" w:themeColor="text1"/>
                <w:sz w:val="18"/>
                <w:szCs w:val="18"/>
                <w14:textFill>
                  <w14:solidFill>
                    <w14:schemeClr w14:val="tx1"/>
                  </w14:solidFill>
                </w14:textFill>
              </w:rPr>
              <w:t>1学分，AI+教师教育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rFonts w:hint="eastAsia"/>
                <w:b/>
                <w:bCs/>
                <w:sz w:val="18"/>
                <w:szCs w:val="18"/>
              </w:rPr>
            </w:pPr>
            <w:r>
              <w:rPr>
                <w:rFonts w:hint="eastAsia"/>
                <w:b/>
                <w:bCs/>
                <w:color w:val="000000" w:themeColor="text1"/>
                <w:sz w:val="18"/>
                <w:szCs w:val="18"/>
                <w14:textFill>
                  <w14:solidFill>
                    <w14:schemeClr w14:val="tx1"/>
                  </w14:solidFill>
                </w14:textFill>
              </w:rPr>
              <w:t>数学在人工智能中的应用</w:t>
            </w:r>
          </w:p>
        </w:tc>
        <w:tc>
          <w:tcPr>
            <w:tcW w:w="1017" w:type="dxa"/>
            <w:vAlign w:val="center"/>
          </w:tcPr>
          <w:p>
            <w:pPr>
              <w:rPr>
                <w:rFonts w:hint="eastAsia"/>
                <w:sz w:val="16"/>
                <w:szCs w:val="16"/>
              </w:rPr>
            </w:pPr>
            <w:r>
              <w:rPr>
                <w:rFonts w:hint="eastAsia"/>
                <w:color w:val="000000" w:themeColor="text1"/>
                <w:sz w:val="16"/>
                <w:szCs w:val="16"/>
                <w14:textFill>
                  <w14:solidFill>
                    <w14:schemeClr w14:val="tx1"/>
                  </w14:solidFill>
                </w14:textFill>
              </w:rPr>
              <w:t>第9-</w:t>
            </w:r>
            <w:r>
              <w:rPr>
                <w:color w:val="000000" w:themeColor="text1"/>
                <w:sz w:val="16"/>
                <w:szCs w:val="16"/>
                <w14:textFill>
                  <w14:solidFill>
                    <w14:schemeClr w14:val="tx1"/>
                  </w14:solidFill>
                </w14:textFill>
              </w:rPr>
              <w:t>11</w:t>
            </w:r>
            <w:r>
              <w:rPr>
                <w:rFonts w:hint="eastAsia"/>
                <w:color w:val="000000" w:themeColor="text1"/>
                <w:sz w:val="16"/>
                <w:szCs w:val="16"/>
                <w14:textFill>
                  <w14:solidFill>
                    <w14:schemeClr w14:val="tx1"/>
                  </w14:solidFill>
                </w14:textFill>
              </w:rPr>
              <w:t>学期</w:t>
            </w:r>
          </w:p>
        </w:tc>
        <w:tc>
          <w:tcPr>
            <w:tcW w:w="926" w:type="dxa"/>
            <w:vAlign w:val="center"/>
          </w:tcPr>
          <w:p>
            <w:pPr>
              <w:rPr>
                <w:sz w:val="18"/>
                <w:szCs w:val="18"/>
              </w:rPr>
            </w:pPr>
          </w:p>
        </w:tc>
        <w:tc>
          <w:tcPr>
            <w:tcW w:w="2268" w:type="dxa"/>
            <w:shd w:val="clear" w:color="auto" w:fill="auto"/>
            <w:noWrap/>
            <w:vAlign w:val="center"/>
          </w:tcPr>
          <w:p>
            <w:pPr>
              <w:rPr>
                <w:rFonts w:hint="eastAsia"/>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restart"/>
            <w:shd w:val="clear" w:color="auto" w:fill="auto"/>
            <w:vAlign w:val="center"/>
          </w:tcPr>
          <w:p>
            <w:pPr>
              <w:jc w:val="center"/>
              <w:rPr>
                <w:sz w:val="18"/>
                <w:szCs w:val="18"/>
              </w:rPr>
            </w:pPr>
            <w:r>
              <w:rPr>
                <w:rFonts w:hint="eastAsia"/>
                <w:sz w:val="18"/>
                <w:szCs w:val="18"/>
              </w:rPr>
              <w:t>选修</w:t>
            </w:r>
          </w:p>
        </w:tc>
        <w:tc>
          <w:tcPr>
            <w:tcW w:w="1075" w:type="dxa"/>
            <w:vMerge w:val="restart"/>
            <w:shd w:val="clear" w:color="auto" w:fill="auto"/>
            <w:vAlign w:val="center"/>
          </w:tcPr>
          <w:p>
            <w:pPr>
              <w:jc w:val="center"/>
              <w:rPr>
                <w:rFonts w:hint="eastAsia" w:eastAsia="宋体"/>
                <w:b/>
                <w:bCs/>
                <w:sz w:val="18"/>
                <w:szCs w:val="18"/>
                <w:lang w:eastAsia="zh-CN"/>
              </w:rPr>
            </w:pPr>
            <w:r>
              <w:rPr>
                <w:rFonts w:hint="eastAsia"/>
                <w:b/>
                <w:bCs/>
                <w:sz w:val="18"/>
                <w:szCs w:val="18"/>
                <w:lang w:val="en-US" w:eastAsia="zh-CN"/>
              </w:rPr>
              <w:t>4</w:t>
            </w:r>
          </w:p>
        </w:tc>
        <w:tc>
          <w:tcPr>
            <w:tcW w:w="2327" w:type="dxa"/>
            <w:shd w:val="clear" w:color="auto" w:fill="auto"/>
            <w:vAlign w:val="center"/>
          </w:tcPr>
          <w:p>
            <w:pPr>
              <w:rPr>
                <w:rFonts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数学史</w:t>
            </w:r>
          </w:p>
        </w:tc>
        <w:tc>
          <w:tcPr>
            <w:tcW w:w="1017"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第5学期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lang w:val="en-US" w:eastAsia="zh-CN"/>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中学数学建模的教与学</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第5学期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lang w:val="en-US" w:eastAsia="zh-CN"/>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高观点下的中学数学</w:t>
            </w:r>
          </w:p>
        </w:tc>
        <w:tc>
          <w:tcPr>
            <w:tcW w:w="1017" w:type="dxa"/>
            <w:shd w:val="clear" w:color="auto" w:fill="auto"/>
            <w:vAlign w:val="center"/>
          </w:tcPr>
          <w:p>
            <w:pPr>
              <w:rPr>
                <w:rFonts w:hint="eastAsia"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第5学期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shd w:val="clear" w:color="auto" w:fill="auto"/>
            <w:vAlign w:val="center"/>
          </w:tcPr>
          <w:p>
            <w:pPr>
              <w:jc w:val="center"/>
              <w:rPr>
                <w:rFonts w:hint="eastAsia"/>
                <w:sz w:val="18"/>
                <w:szCs w:val="18"/>
              </w:rPr>
            </w:pPr>
          </w:p>
        </w:tc>
        <w:tc>
          <w:tcPr>
            <w:tcW w:w="1075" w:type="dxa"/>
            <w:vMerge w:val="continue"/>
            <w:shd w:val="clear" w:color="auto" w:fill="auto"/>
            <w:vAlign w:val="center"/>
          </w:tcPr>
          <w:p>
            <w:pPr>
              <w:jc w:val="center"/>
              <w:rPr>
                <w:rFonts w:hint="eastAsia"/>
                <w:b/>
                <w:bCs/>
                <w:sz w:val="18"/>
                <w:szCs w:val="18"/>
                <w:lang w:val="en-US" w:eastAsia="zh-CN"/>
              </w:rPr>
            </w:pPr>
          </w:p>
        </w:tc>
        <w:tc>
          <w:tcPr>
            <w:tcW w:w="2327" w:type="dxa"/>
            <w:shd w:val="clear" w:color="auto" w:fill="auto"/>
            <w:vAlign w:val="center"/>
          </w:tcPr>
          <w:p>
            <w:pPr>
              <w:rPr>
                <w:rFonts w:hint="eastAsia"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数学教育与信息技术</w:t>
            </w:r>
          </w:p>
        </w:tc>
        <w:tc>
          <w:tcPr>
            <w:tcW w:w="1017" w:type="dxa"/>
            <w:shd w:val="clear" w:color="auto" w:fill="auto"/>
            <w:vAlign w:val="center"/>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第5学期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top"/>
          </w:tcPr>
          <w:p>
            <w:pPr>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rFonts w:ascii="宋体" w:hAnsi="宋体" w:eastAsia="宋体" w:cs="宋体"/>
                <w:b/>
                <w:bCs/>
                <w:color w:val="000000" w:themeColor="text1"/>
                <w:sz w:val="18"/>
                <w:szCs w:val="18"/>
                <w:lang w:val="en-US" w:eastAsia="zh-CN" w:bidi="ar-SA"/>
                <w14:textFill>
                  <w14:solidFill>
                    <w14:schemeClr w14:val="tx1"/>
                  </w14:solidFill>
                </w14:textFill>
              </w:rPr>
            </w:pPr>
            <w:r>
              <w:rPr>
                <w:rFonts w:hint="eastAsia"/>
                <w:b/>
                <w:bCs/>
                <w:color w:val="000000" w:themeColor="text1"/>
                <w:sz w:val="18"/>
                <w:szCs w:val="18"/>
                <w14:textFill>
                  <w14:solidFill>
                    <w14:schemeClr w14:val="tx1"/>
                  </w14:solidFill>
                </w14:textFill>
              </w:rPr>
              <w:t>解题原理与数学竞赛</w:t>
            </w:r>
          </w:p>
        </w:tc>
        <w:tc>
          <w:tcPr>
            <w:tcW w:w="1017" w:type="dxa"/>
            <w:shd w:val="clear" w:color="auto" w:fill="auto"/>
            <w:vAlign w:val="center"/>
          </w:tcPr>
          <w:p>
            <w:pPr>
              <w:rPr>
                <w:rFonts w:ascii="宋体" w:hAnsi="宋体" w:eastAsia="宋体" w:cs="宋体"/>
                <w:color w:val="000000" w:themeColor="text1"/>
                <w:sz w:val="16"/>
                <w:szCs w:val="16"/>
                <w:lang w:val="en-US" w:eastAsia="zh-CN" w:bidi="ar-SA"/>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6学期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rFonts w:ascii="宋体" w:hAnsi="宋体" w:eastAsia="宋体" w:cs="宋体"/>
                <w:b/>
                <w:bCs/>
                <w:sz w:val="18"/>
                <w:szCs w:val="18"/>
                <w:lang w:val="en-US" w:eastAsia="zh-CN" w:bidi="ar-SA"/>
              </w:rPr>
            </w:pPr>
            <w:r>
              <w:rPr>
                <w:rFonts w:hint="eastAsia"/>
                <w:b/>
                <w:sz w:val="18"/>
                <w:szCs w:val="18"/>
              </w:rPr>
              <w:t>现代数学教育研究导论</w:t>
            </w:r>
          </w:p>
        </w:tc>
        <w:tc>
          <w:tcPr>
            <w:tcW w:w="1017" w:type="dxa"/>
            <w:shd w:val="clear" w:color="auto" w:fill="auto"/>
            <w:vAlign w:val="center"/>
          </w:tcPr>
          <w:p>
            <w:pPr>
              <w:rPr>
                <w:rFonts w:ascii="宋体" w:hAnsi="宋体" w:eastAsia="宋体" w:cs="宋体"/>
                <w:sz w:val="18"/>
                <w:szCs w:val="18"/>
                <w:lang w:val="en-US" w:eastAsia="zh-CN" w:bidi="ar-SA"/>
              </w:rPr>
            </w:pPr>
            <w:r>
              <w:rPr>
                <w:rFonts w:hint="eastAsia"/>
                <w:sz w:val="18"/>
                <w:szCs w:val="18"/>
              </w:rPr>
              <w:t>第</w:t>
            </w:r>
            <w:r>
              <w:rPr>
                <w:sz w:val="18"/>
                <w:szCs w:val="18"/>
              </w:rPr>
              <w:t>8</w:t>
            </w:r>
            <w:r>
              <w:rPr>
                <w:rFonts w:hint="eastAsia"/>
                <w:sz w:val="18"/>
                <w:szCs w:val="18"/>
              </w:rPr>
              <w:t>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rFonts w:ascii="宋体" w:hAnsi="宋体" w:eastAsia="宋体" w:cs="宋体"/>
                <w:b/>
                <w:bCs/>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数学教育心理研究基础</w:t>
            </w:r>
          </w:p>
        </w:tc>
        <w:tc>
          <w:tcPr>
            <w:tcW w:w="1017" w:type="dxa"/>
            <w:shd w:val="clear" w:color="auto" w:fill="auto"/>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第1</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rFonts w:ascii="宋体" w:hAnsi="宋体" w:eastAsia="宋体" w:cs="宋体"/>
                <w:b/>
                <w:bCs/>
                <w:color w:val="000000" w:themeColor="text1"/>
                <w:sz w:val="18"/>
                <w:szCs w:val="18"/>
                <w:lang w:val="en-US" w:eastAsia="zh-CN" w:bidi="ar-SA"/>
                <w14:textFill>
                  <w14:solidFill>
                    <w14:schemeClr w14:val="tx1"/>
                  </w14:solidFill>
                </w14:textFill>
              </w:rPr>
            </w:pPr>
            <w:r>
              <w:rPr>
                <w:rFonts w:hint="eastAsia"/>
                <w:b/>
                <w:color w:val="000000" w:themeColor="text1"/>
                <w:sz w:val="18"/>
                <w:szCs w:val="18"/>
                <w14:textFill>
                  <w14:solidFill>
                    <w14:schemeClr w14:val="tx1"/>
                  </w14:solidFill>
                </w14:textFill>
              </w:rPr>
              <w:t>数学教育研究方法</w:t>
            </w:r>
          </w:p>
        </w:tc>
        <w:tc>
          <w:tcPr>
            <w:tcW w:w="1017" w:type="dxa"/>
            <w:shd w:val="clear" w:color="auto" w:fill="auto"/>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第1</w:t>
            </w: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学期</w:t>
            </w:r>
          </w:p>
        </w:tc>
        <w:tc>
          <w:tcPr>
            <w:tcW w:w="926" w:type="dxa"/>
            <w:shd w:val="clear" w:color="auto" w:fill="auto"/>
            <w:vAlign w:val="center"/>
          </w:tcPr>
          <w:p>
            <w:pPr>
              <w:rPr>
                <w:rFonts w:ascii="宋体" w:hAnsi="宋体" w:eastAsia="宋体" w:cs="宋体"/>
                <w:color w:val="000000" w:themeColor="text1"/>
                <w:sz w:val="18"/>
                <w:szCs w:val="18"/>
                <w:lang w:val="en-US" w:eastAsia="zh-CN" w:bidi="ar-SA"/>
                <w14:textFill>
                  <w14:solidFill>
                    <w14:schemeClr w14:val="tx1"/>
                  </w14:solidFill>
                </w14:textFill>
              </w:rPr>
            </w:pPr>
          </w:p>
        </w:tc>
        <w:tc>
          <w:tcPr>
            <w:tcW w:w="2268" w:type="dxa"/>
            <w:shd w:val="clear" w:color="auto" w:fill="auto"/>
            <w:vAlign w:val="top"/>
          </w:tcPr>
          <w:p>
            <w:pPr>
              <w:rPr>
                <w:rFonts w:ascii="宋体" w:hAnsi="宋体" w:eastAsia="宋体" w:cs="宋体"/>
                <w:color w:val="000000" w:themeColor="text1"/>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59" w:type="dxa"/>
            <w:vMerge w:val="continue"/>
            <w:vAlign w:val="center"/>
          </w:tcPr>
          <w:p>
            <w:pPr>
              <w:rPr>
                <w:b/>
                <w:bCs/>
                <w:sz w:val="18"/>
                <w:szCs w:val="18"/>
              </w:rPr>
            </w:pPr>
          </w:p>
        </w:tc>
        <w:tc>
          <w:tcPr>
            <w:tcW w:w="1456" w:type="dxa"/>
            <w:gridSpan w:val="2"/>
            <w:vMerge w:val="restart"/>
            <w:shd w:val="clear" w:color="auto" w:fill="auto"/>
            <w:vAlign w:val="center"/>
          </w:tcPr>
          <w:p>
            <w:pPr>
              <w:jc w:val="center"/>
              <w:rPr>
                <w:b/>
                <w:bCs/>
                <w:sz w:val="18"/>
                <w:szCs w:val="18"/>
              </w:rPr>
            </w:pPr>
            <w:r>
              <w:rPr>
                <w:rFonts w:hint="eastAsia"/>
                <w:b/>
                <w:bCs/>
                <w:sz w:val="18"/>
                <w:szCs w:val="18"/>
              </w:rPr>
              <w:t>教师教育选修课</w:t>
            </w:r>
          </w:p>
        </w:tc>
        <w:tc>
          <w:tcPr>
            <w:tcW w:w="756" w:type="dxa"/>
            <w:vMerge w:val="restart"/>
            <w:shd w:val="clear" w:color="auto" w:fill="auto"/>
            <w:vAlign w:val="center"/>
          </w:tcPr>
          <w:p>
            <w:pPr>
              <w:jc w:val="center"/>
              <w:rPr>
                <w:sz w:val="18"/>
                <w:szCs w:val="18"/>
              </w:rPr>
            </w:pPr>
            <w:r>
              <w:rPr>
                <w:rFonts w:hint="eastAsia"/>
                <w:sz w:val="18"/>
                <w:szCs w:val="18"/>
              </w:rPr>
              <w:t>选修</w:t>
            </w:r>
          </w:p>
        </w:tc>
        <w:tc>
          <w:tcPr>
            <w:tcW w:w="1075" w:type="dxa"/>
            <w:vMerge w:val="restart"/>
            <w:shd w:val="clear" w:color="auto" w:fill="auto"/>
            <w:vAlign w:val="center"/>
          </w:tcPr>
          <w:p>
            <w:pPr>
              <w:jc w:val="center"/>
              <w:rPr>
                <w:b/>
                <w:bCs/>
                <w:sz w:val="18"/>
                <w:szCs w:val="18"/>
              </w:rPr>
            </w:pPr>
            <w:r>
              <w:rPr>
                <w:rFonts w:hint="eastAsia"/>
                <w:b/>
                <w:bCs/>
                <w:sz w:val="18"/>
                <w:szCs w:val="18"/>
              </w:rPr>
              <w:t>4</w:t>
            </w:r>
          </w:p>
        </w:tc>
        <w:tc>
          <w:tcPr>
            <w:tcW w:w="2327" w:type="dxa"/>
            <w:shd w:val="clear" w:color="auto" w:fill="auto"/>
            <w:vAlign w:val="center"/>
          </w:tcPr>
          <w:p>
            <w:pPr>
              <w:rPr>
                <w:b/>
                <w:bCs/>
                <w:sz w:val="18"/>
                <w:szCs w:val="18"/>
              </w:rPr>
            </w:pPr>
            <w:r>
              <w:rPr>
                <w:rFonts w:hint="eastAsia"/>
                <w:b/>
                <w:bCs/>
                <w:sz w:val="18"/>
                <w:szCs w:val="18"/>
              </w:rPr>
              <w:t>学校德育实务</w:t>
            </w:r>
          </w:p>
        </w:tc>
        <w:tc>
          <w:tcPr>
            <w:tcW w:w="1017" w:type="dxa"/>
            <w:vAlign w:val="center"/>
          </w:tcPr>
          <w:p>
            <w:pPr>
              <w:rPr>
                <w:sz w:val="18"/>
                <w:szCs w:val="18"/>
              </w:rPr>
            </w:pPr>
            <w:r>
              <w:rPr>
                <w:rFonts w:hint="eastAsia"/>
                <w:sz w:val="18"/>
                <w:szCs w:val="18"/>
              </w:rPr>
              <w:t>第3-8学期</w:t>
            </w:r>
          </w:p>
        </w:tc>
        <w:tc>
          <w:tcPr>
            <w:tcW w:w="926" w:type="dxa"/>
            <w:vMerge w:val="restart"/>
            <w:vAlign w:val="center"/>
          </w:tcPr>
          <w:p>
            <w:pPr>
              <w:rPr>
                <w:sz w:val="18"/>
                <w:szCs w:val="18"/>
              </w:rPr>
            </w:pPr>
            <w:r>
              <w:rPr>
                <w:rFonts w:hint="eastAsia"/>
                <w:sz w:val="18"/>
                <w:szCs w:val="18"/>
              </w:rPr>
              <w:t>教育学部、心理学院、马克思主义学院、心理健康咨询中心等</w:t>
            </w:r>
          </w:p>
          <w:p>
            <w:pPr>
              <w:rPr>
                <w:sz w:val="18"/>
                <w:szCs w:val="18"/>
              </w:rPr>
            </w:pPr>
          </w:p>
        </w:tc>
        <w:tc>
          <w:tcPr>
            <w:tcW w:w="2268" w:type="dxa"/>
            <w:shd w:val="clear" w:color="auto" w:fill="auto"/>
            <w:noWrap/>
            <w:vAlign w:val="center"/>
          </w:tcPr>
          <w:p>
            <w:pPr>
              <w:rPr>
                <w:sz w:val="18"/>
                <w:szCs w:val="18"/>
              </w:rPr>
            </w:pPr>
            <w:r>
              <w:rPr>
                <w:sz w:val="18"/>
                <w:szCs w:val="18"/>
              </w:rPr>
              <w:t>1</w:t>
            </w:r>
            <w:r>
              <w:rPr>
                <w:rFonts w:hint="eastAsia"/>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班级管理</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sz w:val="18"/>
                <w:szCs w:val="18"/>
              </w:rPr>
            </w:pPr>
            <w:r>
              <w:rPr>
                <w:rFonts w:hint="eastAsia"/>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教育经典研读</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sz w:val="18"/>
                <w:szCs w:val="18"/>
              </w:rPr>
            </w:pPr>
            <w:r>
              <w:rPr>
                <w:sz w:val="18"/>
                <w:szCs w:val="18"/>
              </w:rPr>
              <w:t>1</w:t>
            </w:r>
            <w:r>
              <w:rPr>
                <w:rFonts w:hint="eastAsia"/>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西方教育传统与现代变革</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教育人类学</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作为基础教学法的儿童哲学</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班级活动的设计与指导</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学习科学与学科教学设计</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融合教育理论与实践</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基于博物馆的项目化学习</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学生心理危机与干预</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学生心理辅导素养</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教育研究中的单一被试设计与实施</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学校生涯规划导论：理论与实务</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国际视野下的教师教育</w:t>
            </w:r>
          </w:p>
        </w:tc>
        <w:tc>
          <w:tcPr>
            <w:tcW w:w="1017" w:type="dxa"/>
            <w:vAlign w:val="center"/>
          </w:tcPr>
          <w:p>
            <w:pPr>
              <w:rPr>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数智技术赋能的教学创新与实践</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人际发展与心理健康</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sz w:val="18"/>
                <w:szCs w:val="18"/>
              </w:rPr>
              <w:t>教育强国专题研讨课</w:t>
            </w:r>
          </w:p>
        </w:tc>
        <w:tc>
          <w:tcPr>
            <w:tcW w:w="1017" w:type="dxa"/>
            <w:vAlign w:val="center"/>
          </w:tcPr>
          <w:p>
            <w:pPr>
              <w:rPr>
                <w:b/>
                <w:bCs/>
                <w:sz w:val="18"/>
                <w:szCs w:val="18"/>
              </w:rPr>
            </w:pPr>
            <w:r>
              <w:rPr>
                <w:rFonts w:hint="eastAsia"/>
                <w:sz w:val="18"/>
                <w:szCs w:val="18"/>
              </w:rPr>
              <w:t>第3-8学期</w:t>
            </w:r>
          </w:p>
        </w:tc>
        <w:tc>
          <w:tcPr>
            <w:tcW w:w="926" w:type="dxa"/>
            <w:vMerge w:val="continue"/>
            <w:vAlign w:val="center"/>
          </w:tcPr>
          <w:p>
            <w:pPr>
              <w:rPr>
                <w:sz w:val="18"/>
                <w:szCs w:val="18"/>
              </w:rPr>
            </w:pPr>
          </w:p>
        </w:tc>
        <w:tc>
          <w:tcPr>
            <w:tcW w:w="2268" w:type="dxa"/>
            <w:shd w:val="clear" w:color="auto" w:fill="auto"/>
            <w:noWrap/>
            <w:vAlign w:val="center"/>
          </w:tcPr>
          <w:p>
            <w:pPr>
              <w:rPr>
                <w:b/>
                <w:bCs/>
                <w:sz w:val="18"/>
                <w:szCs w:val="18"/>
              </w:rPr>
            </w:pPr>
            <w:r>
              <w:rPr>
                <w:rFonts w:hint="eastAsia"/>
                <w:b/>
                <w:bCs/>
                <w:sz w:val="18"/>
                <w:szCs w:val="18"/>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jc w:val="center"/>
              <w:textAlignment w:val="center"/>
              <w:rPr>
                <w:b/>
                <w:bCs/>
                <w:color w:val="000000"/>
                <w:sz w:val="22"/>
                <w:szCs w:val="22"/>
                <w:lang w:bidi="ar"/>
              </w:rPr>
            </w:pPr>
            <w:r>
              <w:rPr>
                <w:b/>
                <w:bCs/>
                <w:color w:val="000000"/>
                <w:sz w:val="22"/>
                <w:szCs w:val="22"/>
                <w:lang w:bidi="ar"/>
              </w:rPr>
              <w:t>……</w:t>
            </w:r>
          </w:p>
        </w:tc>
        <w:tc>
          <w:tcPr>
            <w:tcW w:w="1017" w:type="dxa"/>
            <w:vAlign w:val="center"/>
          </w:tcPr>
          <w:p>
            <w:pPr>
              <w:jc w:val="center"/>
              <w:textAlignment w:val="center"/>
              <w:rPr>
                <w:b/>
                <w:bCs/>
                <w:color w:val="000000"/>
                <w:sz w:val="22"/>
                <w:szCs w:val="22"/>
                <w:lang w:bidi="ar"/>
              </w:rPr>
            </w:pPr>
          </w:p>
        </w:tc>
        <w:tc>
          <w:tcPr>
            <w:tcW w:w="926" w:type="dxa"/>
            <w:vMerge w:val="continue"/>
            <w:vAlign w:val="center"/>
          </w:tcPr>
          <w:p>
            <w:pPr>
              <w:rPr>
                <w:sz w:val="18"/>
                <w:szCs w:val="18"/>
              </w:rPr>
            </w:pPr>
          </w:p>
        </w:tc>
        <w:tc>
          <w:tcPr>
            <w:tcW w:w="2268" w:type="dxa"/>
            <w:shd w:val="clear" w:color="auto" w:fill="auto"/>
            <w:noWrap/>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59" w:type="dxa"/>
            <w:vMerge w:val="continue"/>
            <w:vAlign w:val="center"/>
          </w:tcPr>
          <w:p>
            <w:pPr>
              <w:rPr>
                <w:b/>
                <w:bCs/>
                <w:sz w:val="18"/>
                <w:szCs w:val="18"/>
              </w:rPr>
            </w:pPr>
          </w:p>
        </w:tc>
        <w:tc>
          <w:tcPr>
            <w:tcW w:w="1456" w:type="dxa"/>
            <w:gridSpan w:val="2"/>
            <w:vMerge w:val="restart"/>
            <w:shd w:val="clear" w:color="auto" w:fill="auto"/>
            <w:vAlign w:val="center"/>
          </w:tcPr>
          <w:p>
            <w:pPr>
              <w:jc w:val="center"/>
              <w:rPr>
                <w:b/>
                <w:bCs/>
                <w:sz w:val="18"/>
                <w:szCs w:val="18"/>
              </w:rPr>
            </w:pPr>
            <w:r>
              <w:rPr>
                <w:rFonts w:hint="eastAsia"/>
                <w:b/>
                <w:bCs/>
                <w:sz w:val="18"/>
                <w:szCs w:val="18"/>
              </w:rPr>
              <w:t>实习实践课程</w:t>
            </w:r>
          </w:p>
        </w:tc>
        <w:tc>
          <w:tcPr>
            <w:tcW w:w="756" w:type="dxa"/>
            <w:vMerge w:val="restart"/>
            <w:shd w:val="clear" w:color="auto" w:fill="auto"/>
            <w:vAlign w:val="center"/>
          </w:tcPr>
          <w:p>
            <w:pPr>
              <w:jc w:val="center"/>
              <w:rPr>
                <w:sz w:val="18"/>
                <w:szCs w:val="18"/>
              </w:rPr>
            </w:pPr>
            <w:r>
              <w:rPr>
                <w:rFonts w:hint="eastAsia"/>
                <w:sz w:val="18"/>
                <w:szCs w:val="18"/>
              </w:rPr>
              <w:t>必修</w:t>
            </w:r>
          </w:p>
        </w:tc>
        <w:tc>
          <w:tcPr>
            <w:tcW w:w="1075" w:type="dxa"/>
            <w:vMerge w:val="restart"/>
            <w:shd w:val="clear" w:color="auto" w:fill="auto"/>
            <w:vAlign w:val="center"/>
          </w:tcPr>
          <w:p>
            <w:pPr>
              <w:jc w:val="center"/>
              <w:rPr>
                <w:rFonts w:hint="default" w:eastAsia="宋体"/>
                <w:b/>
                <w:bCs/>
                <w:sz w:val="18"/>
                <w:szCs w:val="18"/>
                <w:lang w:val="en-US" w:eastAsia="zh-CN"/>
              </w:rPr>
            </w:pPr>
            <w:r>
              <w:rPr>
                <w:rFonts w:hint="eastAsia"/>
                <w:b/>
                <w:bCs/>
                <w:sz w:val="18"/>
                <w:szCs w:val="18"/>
                <w:lang w:val="en-US" w:eastAsia="zh-CN"/>
              </w:rPr>
              <w:t>11</w:t>
            </w: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教学技能训练（微格）</w:t>
            </w:r>
          </w:p>
        </w:tc>
        <w:tc>
          <w:tcPr>
            <w:tcW w:w="1017" w:type="dxa"/>
            <w:vAlign w:val="center"/>
          </w:tcPr>
          <w:p>
            <w:pPr>
              <w:rPr>
                <w:sz w:val="18"/>
                <w:szCs w:val="18"/>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26" w:type="dxa"/>
            <w:vAlign w:val="center"/>
          </w:tcPr>
          <w:p>
            <w:pPr>
              <w:rPr>
                <w:sz w:val="18"/>
                <w:szCs w:val="18"/>
              </w:rPr>
            </w:pPr>
          </w:p>
        </w:tc>
        <w:tc>
          <w:tcPr>
            <w:tcW w:w="2268" w:type="dxa"/>
            <w:shd w:val="clear" w:color="auto" w:fill="auto"/>
            <w:vAlign w:val="center"/>
          </w:tcPr>
          <w:p>
            <w:pPr>
              <w:rPr>
                <w:sz w:val="18"/>
                <w:szCs w:val="18"/>
              </w:rPr>
            </w:pPr>
            <w:r>
              <w:rPr>
                <w:rFonts w:hint="eastAsia"/>
                <w:color w:val="000000" w:themeColor="text1"/>
                <w:sz w:val="18"/>
                <w:szCs w:val="18"/>
                <w14:textFill>
                  <w14:solidFill>
                    <w14:schemeClr w14:val="tx1"/>
                  </w14:solidFill>
                </w14:textFill>
              </w:rPr>
              <w:t>2学分</w:t>
            </w:r>
            <w:r>
              <w:rPr>
                <w:color w:val="000000" w:themeColor="text1"/>
                <w:sz w:val="18"/>
                <w:szCs w:val="1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教育见习</w:t>
            </w:r>
          </w:p>
        </w:tc>
        <w:tc>
          <w:tcPr>
            <w:tcW w:w="1017" w:type="dxa"/>
            <w:vAlign w:val="center"/>
          </w:tcPr>
          <w:p>
            <w:pPr>
              <w:rPr>
                <w:sz w:val="18"/>
                <w:szCs w:val="18"/>
              </w:rPr>
            </w:pPr>
            <w:r>
              <w:rPr>
                <w:rFonts w:hint="eastAsia"/>
                <w:color w:val="000000" w:themeColor="text1"/>
                <w:sz w:val="18"/>
                <w:szCs w:val="18"/>
                <w14:textFill>
                  <w14:solidFill>
                    <w14:schemeClr w14:val="tx1"/>
                  </w14:solidFill>
                </w14:textFill>
              </w:rPr>
              <w:t>第</w:t>
            </w:r>
            <w:r>
              <w:rPr>
                <w:color w:val="000000" w:themeColor="text1"/>
                <w:sz w:val="18"/>
                <w:szCs w:val="18"/>
                <w14:textFill>
                  <w14:solidFill>
                    <w14:schemeClr w14:val="tx1"/>
                  </w14:solidFill>
                </w14:textFill>
              </w:rPr>
              <w:t>8</w:t>
            </w:r>
            <w:r>
              <w:rPr>
                <w:rFonts w:hint="eastAsia"/>
                <w:color w:val="000000" w:themeColor="text1"/>
                <w:sz w:val="18"/>
                <w:szCs w:val="18"/>
                <w14:textFill>
                  <w14:solidFill>
                    <w14:schemeClr w14:val="tx1"/>
                  </w14:solidFill>
                </w14:textFill>
              </w:rPr>
              <w:t>学期</w:t>
            </w:r>
          </w:p>
        </w:tc>
        <w:tc>
          <w:tcPr>
            <w:tcW w:w="926" w:type="dxa"/>
            <w:vAlign w:val="center"/>
          </w:tcPr>
          <w:p>
            <w:pPr>
              <w:rPr>
                <w:sz w:val="18"/>
                <w:szCs w:val="18"/>
              </w:rPr>
            </w:pPr>
          </w:p>
        </w:tc>
        <w:tc>
          <w:tcPr>
            <w:tcW w:w="2268" w:type="dxa"/>
            <w:shd w:val="clear" w:color="auto" w:fill="auto"/>
            <w:vAlign w:val="center"/>
          </w:tcPr>
          <w:p>
            <w:pPr>
              <w:rPr>
                <w:sz w:val="18"/>
                <w:szCs w:val="18"/>
              </w:rPr>
            </w:pPr>
            <w:r>
              <w:rPr>
                <w:rFonts w:hint="eastAsia"/>
                <w:color w:val="000000" w:themeColor="text1"/>
                <w:sz w:val="18"/>
                <w:szCs w:val="18"/>
                <w14:textFill>
                  <w14:solidFill>
                    <w14:schemeClr w14:val="tx1"/>
                  </w14:solidFill>
                </w14:textFill>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59" w:type="dxa"/>
            <w:vMerge w:val="continue"/>
            <w:vAlign w:val="center"/>
          </w:tcPr>
          <w:p>
            <w:pPr>
              <w:rPr>
                <w:b/>
                <w:bCs/>
                <w:sz w:val="18"/>
                <w:szCs w:val="18"/>
              </w:rPr>
            </w:pPr>
          </w:p>
        </w:tc>
        <w:tc>
          <w:tcPr>
            <w:tcW w:w="1456" w:type="dxa"/>
            <w:gridSpan w:val="2"/>
            <w:vMerge w:val="continue"/>
            <w:vAlign w:val="center"/>
          </w:tcPr>
          <w:p>
            <w:pPr>
              <w:rPr>
                <w:b/>
                <w:bCs/>
                <w:sz w:val="18"/>
                <w:szCs w:val="18"/>
              </w:rPr>
            </w:pPr>
          </w:p>
        </w:tc>
        <w:tc>
          <w:tcPr>
            <w:tcW w:w="756" w:type="dxa"/>
            <w:vMerge w:val="continue"/>
            <w:vAlign w:val="center"/>
          </w:tcPr>
          <w:p>
            <w:pPr>
              <w:rPr>
                <w:sz w:val="18"/>
                <w:szCs w:val="18"/>
              </w:rPr>
            </w:pPr>
          </w:p>
        </w:tc>
        <w:tc>
          <w:tcPr>
            <w:tcW w:w="1075" w:type="dxa"/>
            <w:vMerge w:val="continue"/>
            <w:vAlign w:val="center"/>
          </w:tcPr>
          <w:p>
            <w:pPr>
              <w:rPr>
                <w:b/>
                <w:bCs/>
                <w:sz w:val="18"/>
                <w:szCs w:val="18"/>
              </w:rPr>
            </w:pPr>
          </w:p>
        </w:tc>
        <w:tc>
          <w:tcPr>
            <w:tcW w:w="2327" w:type="dxa"/>
            <w:shd w:val="clear" w:color="auto" w:fill="auto"/>
            <w:vAlign w:val="center"/>
          </w:tcPr>
          <w:p>
            <w:pPr>
              <w:rPr>
                <w:b/>
                <w:bCs/>
                <w:sz w:val="18"/>
                <w:szCs w:val="18"/>
              </w:rPr>
            </w:pPr>
            <w:r>
              <w:rPr>
                <w:rFonts w:hint="eastAsia"/>
                <w:b/>
                <w:bCs/>
                <w:color w:val="000000" w:themeColor="text1"/>
                <w:sz w:val="18"/>
                <w:szCs w:val="18"/>
                <w14:textFill>
                  <w14:solidFill>
                    <w14:schemeClr w14:val="tx1"/>
                  </w14:solidFill>
                </w14:textFill>
              </w:rPr>
              <w:t>教育实践（实习+研习）</w:t>
            </w:r>
          </w:p>
        </w:tc>
        <w:tc>
          <w:tcPr>
            <w:tcW w:w="1017" w:type="dxa"/>
            <w:vAlign w:val="center"/>
          </w:tcPr>
          <w:p>
            <w:pPr>
              <w:jc w:val="both"/>
              <w:rPr>
                <w:sz w:val="18"/>
                <w:szCs w:val="18"/>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9</w:t>
            </w:r>
            <w:r>
              <w:rPr>
                <w:rFonts w:hint="eastAsia"/>
                <w:color w:val="000000" w:themeColor="text1"/>
                <w:sz w:val="16"/>
                <w:szCs w:val="16"/>
                <w14:textFill>
                  <w14:solidFill>
                    <w14:schemeClr w14:val="tx1"/>
                  </w14:solidFill>
                </w14:textFill>
              </w:rPr>
              <w:t>学期</w:t>
            </w:r>
          </w:p>
        </w:tc>
        <w:tc>
          <w:tcPr>
            <w:tcW w:w="926" w:type="dxa"/>
            <w:vAlign w:val="center"/>
          </w:tcPr>
          <w:p>
            <w:pPr>
              <w:jc w:val="both"/>
              <w:rPr>
                <w:sz w:val="18"/>
                <w:szCs w:val="18"/>
              </w:rPr>
            </w:pPr>
          </w:p>
        </w:tc>
        <w:tc>
          <w:tcPr>
            <w:tcW w:w="2268" w:type="dxa"/>
            <w:shd w:val="clear" w:color="auto" w:fill="auto"/>
            <w:vAlign w:val="center"/>
          </w:tcPr>
          <w:p>
            <w:pPr>
              <w:jc w:val="both"/>
              <w:rPr>
                <w:sz w:val="18"/>
                <w:szCs w:val="18"/>
              </w:rPr>
            </w:pPr>
            <w:r>
              <w:rPr>
                <w:rFonts w:hint="eastAsia"/>
                <w:color w:val="000000" w:themeColor="text1"/>
                <w:sz w:val="18"/>
                <w:szCs w:val="18"/>
                <w14:textFill>
                  <w14:solidFill>
                    <w14:schemeClr w14:val="tx1"/>
                  </w14:solidFill>
                </w14:textFill>
              </w:rPr>
              <w:t>8学分</w:t>
            </w:r>
          </w:p>
        </w:tc>
      </w:tr>
    </w:tbl>
    <w:p>
      <w:pPr>
        <w:adjustRightInd w:val="0"/>
        <w:snapToGrid w:val="0"/>
        <w:spacing w:after="120" w:afterLines="50" w:line="440" w:lineRule="exact"/>
        <w:ind w:firstLine="420" w:firstLineChars="200"/>
        <w:jc w:val="both"/>
        <w:rPr>
          <w:rFonts w:asciiTheme="minorEastAsia" w:hAnsiTheme="minorEastAsia" w:eastAsiaTheme="minorEastAsia"/>
          <w:sz w:val="21"/>
          <w:szCs w:val="18"/>
        </w:rPr>
      </w:pPr>
      <w:r>
        <w:rPr>
          <w:rFonts w:hint="eastAsia" w:asciiTheme="minorEastAsia" w:hAnsiTheme="minorEastAsia" w:eastAsiaTheme="minorEastAsia"/>
          <w:sz w:val="21"/>
          <w:szCs w:val="18"/>
        </w:rPr>
        <w:t>说明：各院系可根据各自专业情况对学分量和开课学期进行适当调整。</w:t>
      </w:r>
    </w:p>
    <w:p>
      <w:pPr>
        <w:adjustRightInd w:val="0"/>
        <w:snapToGrid w:val="0"/>
        <w:spacing w:after="120" w:afterLines="50" w:line="440" w:lineRule="exact"/>
        <w:ind w:firstLine="562" w:firstLineChars="200"/>
        <w:jc w:val="both"/>
        <w:rPr>
          <w:rFonts w:cs="Times New Roman"/>
          <w:sz w:val="28"/>
          <w:szCs w:val="28"/>
        </w:rPr>
      </w:pPr>
      <w:r>
        <w:rPr>
          <w:rFonts w:hint="eastAsia" w:cs="Times New Roman"/>
          <w:b/>
          <w:bCs/>
          <w:sz w:val="28"/>
          <w:szCs w:val="28"/>
        </w:rPr>
        <w:t>（三）养成教育</w:t>
      </w:r>
    </w:p>
    <w:p>
      <w:pPr>
        <w:adjustRightInd w:val="0"/>
        <w:snapToGrid w:val="0"/>
        <w:spacing w:after="120" w:afterLines="50" w:line="440" w:lineRule="exact"/>
        <w:ind w:firstLine="560" w:firstLineChars="200"/>
        <w:jc w:val="both"/>
        <w:rPr>
          <w:rFonts w:cs="Times New Roman"/>
          <w:sz w:val="28"/>
          <w:szCs w:val="28"/>
        </w:rPr>
      </w:pPr>
      <w:r>
        <w:rPr>
          <w:rFonts w:hint="eastAsia" w:cs="Times New Roman"/>
          <w:sz w:val="28"/>
          <w:szCs w:val="28"/>
        </w:rPr>
        <w:t>在本科阶段实施师范生养成教育，其中第</w:t>
      </w:r>
      <w:r>
        <w:rPr>
          <w:rFonts w:cs="Times New Roman"/>
          <w:sz w:val="28"/>
          <w:szCs w:val="28"/>
        </w:rPr>
        <w:t>1年由孟宪承书院负责，重点助力师范生大学适应和培根筑基；后3年由专业院系负责，紧密结合专业特点，重点助力本研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pPr>
        <w:adjustRightInd w:val="0"/>
        <w:snapToGrid w:val="0"/>
        <w:spacing w:after="120" w:afterLines="50" w:line="440" w:lineRule="exact"/>
        <w:ind w:firstLine="560" w:firstLineChars="200"/>
        <w:jc w:val="both"/>
        <w:rPr>
          <w:rFonts w:cs="Times New Roman"/>
          <w:sz w:val="28"/>
          <w:szCs w:val="28"/>
        </w:rPr>
      </w:pPr>
      <w:r>
        <w:rPr>
          <w:rFonts w:hint="eastAsia" w:cs="Times New Roman"/>
          <w:sz w:val="28"/>
          <w:szCs w:val="28"/>
        </w:rPr>
        <w:t>孟宪承书院还作为师范教育特色资源平台，面向高年级师范生及全校其他有志于从事教师职业的非师范生，通过实施“未来教育家计划”，组织“践行教育家精神、中国共产党百年教育思想和教育实践、阅读与演讲、论道教育”通识教育等，分类分阶提供项目化学习资源和机会。</w:t>
      </w:r>
    </w:p>
    <w:p>
      <w:pPr>
        <w:pStyle w:val="3"/>
        <w:rPr>
          <w:color w:val="auto"/>
        </w:rPr>
      </w:pPr>
      <w:r>
        <w:rPr>
          <w:rFonts w:hint="eastAsia"/>
          <w:color w:val="auto"/>
        </w:rPr>
        <w:t>四、</w:t>
      </w:r>
      <w:r>
        <w:rPr>
          <w:color w:val="auto"/>
        </w:rPr>
        <w:t>学位论文</w:t>
      </w:r>
      <w:r>
        <w:rPr>
          <w:rFonts w:hint="eastAsia"/>
          <w:color w:val="auto"/>
        </w:rPr>
        <w:t>与学位授予</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第4学年完成学士学位论文。论文要立足本学科的基础理论、专门知识和基本技能，以学科专业为主开展基础或应用基础研究，须体现学位申请人从事学术研究或者承担</w:t>
      </w:r>
      <w:bookmarkStart w:id="1" w:name="_Hlk166489372"/>
      <w:r>
        <w:rPr>
          <w:rFonts w:hint="eastAsia" w:cs="Times New Roman"/>
          <w:sz w:val="28"/>
          <w:szCs w:val="28"/>
        </w:rPr>
        <w:t>专业实践工作的能力</w:t>
      </w:r>
      <w:bookmarkEnd w:id="1"/>
      <w:r>
        <w:rPr>
          <w:rFonts w:hint="eastAsia" w:cs="Times New Roman"/>
          <w:sz w:val="28"/>
          <w:szCs w:val="28"/>
        </w:rPr>
        <w:t>。</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第6学年完成教育</w:t>
      </w:r>
      <w:r>
        <w:rPr>
          <w:rFonts w:cs="Times New Roman"/>
          <w:sz w:val="28"/>
          <w:szCs w:val="28"/>
        </w:rPr>
        <w:t>硕士</w:t>
      </w:r>
      <w:r>
        <w:rPr>
          <w:rFonts w:hint="eastAsia" w:cs="Times New Roman"/>
          <w:sz w:val="28"/>
          <w:szCs w:val="28"/>
        </w:rPr>
        <w:t>专业</w:t>
      </w:r>
      <w:r>
        <w:rPr>
          <w:rFonts w:cs="Times New Roman"/>
          <w:sz w:val="28"/>
          <w:szCs w:val="28"/>
        </w:rPr>
        <w:t>学位论文</w:t>
      </w:r>
      <w:r>
        <w:rPr>
          <w:rFonts w:hint="eastAsia" w:cs="Times New Roman"/>
          <w:sz w:val="28"/>
          <w:szCs w:val="28"/>
        </w:rPr>
        <w:t>。论文</w:t>
      </w:r>
      <w:r>
        <w:rPr>
          <w:rFonts w:cs="Times New Roman"/>
          <w:sz w:val="28"/>
          <w:szCs w:val="28"/>
        </w:rPr>
        <w:t>要立足教育实践，</w:t>
      </w:r>
      <w:r>
        <w:rPr>
          <w:rFonts w:hint="eastAsia" w:cs="Times New Roman"/>
          <w:sz w:val="28"/>
          <w:szCs w:val="28"/>
        </w:rPr>
        <w:t>结合拓展研究，</w:t>
      </w:r>
      <w:r>
        <w:rPr>
          <w:rFonts w:cs="Times New Roman"/>
          <w:sz w:val="28"/>
          <w:szCs w:val="28"/>
        </w:rPr>
        <w:t>突出学以致用，</w:t>
      </w:r>
      <w:r>
        <w:rPr>
          <w:rFonts w:hint="eastAsia" w:cs="Times New Roman"/>
          <w:sz w:val="28"/>
          <w:szCs w:val="28"/>
        </w:rPr>
        <w:t>以学科教育研究为主，</w:t>
      </w:r>
      <w:r>
        <w:rPr>
          <w:rFonts w:cs="Times New Roman"/>
          <w:sz w:val="28"/>
          <w:szCs w:val="28"/>
        </w:rPr>
        <w:t>分析和解决</w:t>
      </w:r>
      <w:r>
        <w:rPr>
          <w:rFonts w:hint="eastAsia" w:cs="Times New Roman"/>
          <w:sz w:val="28"/>
          <w:szCs w:val="28"/>
        </w:rPr>
        <w:t>相应学科</w:t>
      </w:r>
      <w:r>
        <w:rPr>
          <w:rFonts w:cs="Times New Roman"/>
          <w:sz w:val="28"/>
          <w:szCs w:val="28"/>
        </w:rPr>
        <w:t>教育教学中迫切需要解决的问题</w:t>
      </w:r>
      <w:r>
        <w:rPr>
          <w:rFonts w:hint="eastAsia" w:cs="Times New Roman"/>
          <w:sz w:val="28"/>
          <w:szCs w:val="28"/>
        </w:rPr>
        <w:t>。论文须体现学位申请人坚实的基础理论、系统的专门知识和独立承担专业实践工作的能力。</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达到学士学位授予要求者，可授予学士学位。</w:t>
      </w:r>
      <w:r>
        <w:rPr>
          <w:rFonts w:cs="Times New Roman"/>
          <w:sz w:val="28"/>
          <w:szCs w:val="28"/>
        </w:rPr>
        <w:t>达到培养方案规定的学分要求并通过</w:t>
      </w:r>
      <w:r>
        <w:rPr>
          <w:rFonts w:hint="eastAsia" w:cs="Times New Roman"/>
          <w:sz w:val="28"/>
          <w:szCs w:val="28"/>
        </w:rPr>
        <w:t>硕士学位</w:t>
      </w:r>
      <w:r>
        <w:rPr>
          <w:rFonts w:cs="Times New Roman"/>
          <w:sz w:val="28"/>
          <w:szCs w:val="28"/>
        </w:rPr>
        <w:t>论文答辩，经各专业学位评定小组审核、校专业学位评定分委员会审议通过，经校学位评定委员会审批，可授予教育硕士专业学位。</w:t>
      </w:r>
    </w:p>
    <w:p>
      <w:pPr>
        <w:pStyle w:val="3"/>
        <w:rPr>
          <w:color w:val="auto"/>
        </w:rPr>
      </w:pPr>
      <w:r>
        <w:rPr>
          <w:rFonts w:hint="eastAsia"/>
          <w:color w:val="auto"/>
        </w:rPr>
        <w:t>五、说明</w:t>
      </w:r>
    </w:p>
    <w:p>
      <w:pPr>
        <w:pStyle w:val="4"/>
        <w:rPr>
          <w:color w:val="auto"/>
        </w:rPr>
      </w:pPr>
      <w:r>
        <w:rPr>
          <w:rFonts w:hint="eastAsia"/>
          <w:color w:val="auto"/>
        </w:rPr>
        <w:t>（一</w:t>
      </w:r>
      <w:r>
        <w:rPr>
          <w:color w:val="auto"/>
        </w:rPr>
        <w:t>）培养</w:t>
      </w:r>
      <w:r>
        <w:rPr>
          <w:rFonts w:hint="eastAsia"/>
          <w:color w:val="auto"/>
        </w:rPr>
        <w:t>方式</w:t>
      </w:r>
    </w:p>
    <w:p>
      <w:pPr>
        <w:adjustRightInd w:val="0"/>
        <w:snapToGrid w:val="0"/>
        <w:spacing w:before="120" w:beforeLines="50" w:line="440" w:lineRule="exact"/>
        <w:ind w:firstLine="560" w:firstLineChars="200"/>
        <w:jc w:val="both"/>
        <w:rPr>
          <w:rFonts w:cs="Times New Roman"/>
          <w:sz w:val="28"/>
          <w:szCs w:val="28"/>
        </w:rPr>
      </w:pPr>
      <w:r>
        <w:rPr>
          <w:rFonts w:cs="Times New Roman"/>
          <w:sz w:val="28"/>
          <w:szCs w:val="28"/>
        </w:rPr>
        <w:t>基本学习年限为6年</w:t>
      </w:r>
      <w:r>
        <w:rPr>
          <w:rFonts w:hint="eastAsia" w:cs="Times New Roman"/>
          <w:sz w:val="28"/>
          <w:szCs w:val="28"/>
        </w:rPr>
        <w:t>，最长学习年限为</w:t>
      </w:r>
      <w:r>
        <w:rPr>
          <w:rFonts w:cs="Times New Roman"/>
          <w:sz w:val="28"/>
          <w:szCs w:val="28"/>
        </w:rPr>
        <w:t>8</w:t>
      </w:r>
      <w:r>
        <w:rPr>
          <w:rFonts w:hint="eastAsia" w:cs="Times New Roman"/>
          <w:sz w:val="28"/>
          <w:szCs w:val="28"/>
        </w:rPr>
        <w:t>年</w:t>
      </w:r>
      <w:r>
        <w:rPr>
          <w:rFonts w:cs="Times New Roman"/>
          <w:sz w:val="28"/>
          <w:szCs w:val="28"/>
        </w:rPr>
        <w:t>。采取养成教育</w:t>
      </w:r>
      <w:r>
        <w:rPr>
          <w:rFonts w:hint="eastAsia" w:cs="Times New Roman"/>
          <w:sz w:val="28"/>
          <w:szCs w:val="28"/>
        </w:rPr>
        <w:t>、</w:t>
      </w:r>
      <w:r>
        <w:rPr>
          <w:rFonts w:cs="Times New Roman"/>
          <w:sz w:val="28"/>
          <w:szCs w:val="28"/>
        </w:rPr>
        <w:t>课程教学、实践训练</w:t>
      </w:r>
      <w:r>
        <w:rPr>
          <w:rFonts w:hint="eastAsia" w:cs="Times New Roman"/>
          <w:sz w:val="28"/>
          <w:szCs w:val="28"/>
        </w:rPr>
        <w:t>和</w:t>
      </w:r>
      <w:r>
        <w:rPr>
          <w:rFonts w:cs="Times New Roman"/>
          <w:sz w:val="28"/>
          <w:szCs w:val="28"/>
        </w:rPr>
        <w:t>学术研究</w:t>
      </w:r>
      <w:r>
        <w:rPr>
          <w:rFonts w:hint="eastAsia" w:cs="Times New Roman"/>
          <w:sz w:val="28"/>
          <w:szCs w:val="28"/>
        </w:rPr>
        <w:t>“</w:t>
      </w:r>
      <w:r>
        <w:rPr>
          <w:rFonts w:cs="Times New Roman"/>
          <w:sz w:val="28"/>
          <w:szCs w:val="28"/>
        </w:rPr>
        <w:t>四位一体</w:t>
      </w:r>
      <w:r>
        <w:rPr>
          <w:rFonts w:hint="eastAsia" w:cs="Times New Roman"/>
          <w:sz w:val="28"/>
          <w:szCs w:val="28"/>
        </w:rPr>
        <w:t>”</w:t>
      </w:r>
      <w:r>
        <w:rPr>
          <w:rFonts w:cs="Times New Roman"/>
          <w:sz w:val="28"/>
          <w:szCs w:val="28"/>
        </w:rPr>
        <w:t>的培养模式</w:t>
      </w:r>
      <w:r>
        <w:rPr>
          <w:rFonts w:hint="eastAsia" w:cs="Times New Roman"/>
          <w:sz w:val="28"/>
          <w:szCs w:val="28"/>
        </w:rPr>
        <w:t>。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pPr>
        <w:pStyle w:val="4"/>
        <w:rPr>
          <w:color w:val="auto"/>
        </w:rPr>
      </w:pPr>
      <w:r>
        <w:rPr>
          <w:rFonts w:hint="eastAsia"/>
          <w:color w:val="auto"/>
        </w:rPr>
        <w:t>（二）</w:t>
      </w:r>
      <w:r>
        <w:rPr>
          <w:color w:val="auto"/>
        </w:rPr>
        <w:t>导师制</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建立导师制度，第1年由书院配备学生成长导师，第4年设置学科专业导师进行本科毕业论文指导，第5至6年设置由学科教育导师和基础教育学校实践导师组成的“双导师”协同指导机制。全面指导学生提升育德能力与专业素养，为成为卓越教师打下牢固根基。</w:t>
      </w:r>
    </w:p>
    <w:p>
      <w:pPr>
        <w:pStyle w:val="4"/>
        <w:rPr>
          <w:color w:val="auto"/>
        </w:rPr>
      </w:pPr>
      <w:r>
        <w:rPr>
          <w:rFonts w:hint="eastAsia"/>
          <w:color w:val="auto"/>
        </w:rPr>
        <w:t>（三）实践环节</w:t>
      </w:r>
    </w:p>
    <w:p>
      <w:pPr>
        <w:spacing w:line="440" w:lineRule="exact"/>
        <w:jc w:val="both"/>
        <w:rPr>
          <w:sz w:val="28"/>
          <w:szCs w:val="28"/>
        </w:rPr>
      </w:pPr>
      <w:r>
        <w:rPr>
          <w:rFonts w:hint="eastAsia"/>
        </w:rPr>
        <w:t xml:space="preserve"> </w:t>
      </w:r>
      <w:r>
        <w:t xml:space="preserve">  </w:t>
      </w:r>
      <w:r>
        <w:rPr>
          <w:sz w:val="28"/>
          <w:szCs w:val="28"/>
        </w:rPr>
        <w:t xml:space="preserve">  </w:t>
      </w:r>
      <w:r>
        <w:rPr>
          <w:rFonts w:hint="eastAsia"/>
          <w:sz w:val="28"/>
          <w:szCs w:val="28"/>
        </w:rPr>
        <w:t>实践环节由教学实训、教育实践和拓展研究三部分构成。</w:t>
      </w:r>
      <w:r>
        <w:rPr>
          <w:sz w:val="28"/>
          <w:szCs w:val="28"/>
        </w:rPr>
        <w:t>在学科教育理论课程的基础上，依托教师教育实验教学中心开展教学设计、教学资源准备、微格实训、演讲实训、课堂控制实训、交互实训、评价实训、教学反思等</w:t>
      </w:r>
      <w:r>
        <w:rPr>
          <w:rFonts w:hint="eastAsia"/>
          <w:sz w:val="28"/>
          <w:szCs w:val="28"/>
        </w:rPr>
        <w:t>教学实训</w:t>
      </w:r>
      <w:r>
        <w:rPr>
          <w:sz w:val="28"/>
          <w:szCs w:val="28"/>
        </w:rPr>
        <w:t>。依托</w:t>
      </w:r>
      <w:r>
        <w:rPr>
          <w:rFonts w:hint="eastAsia"/>
          <w:sz w:val="28"/>
          <w:szCs w:val="28"/>
        </w:rPr>
        <w:t>学校</w:t>
      </w:r>
      <w:r>
        <w:rPr>
          <w:sz w:val="28"/>
          <w:szCs w:val="28"/>
        </w:rPr>
        <w:t>教育实习基地，</w:t>
      </w:r>
      <w:r>
        <w:rPr>
          <w:rFonts w:hint="eastAsia"/>
          <w:sz w:val="28"/>
          <w:szCs w:val="28"/>
        </w:rPr>
        <w:t>通过</w:t>
      </w:r>
      <w:r>
        <w:rPr>
          <w:sz w:val="28"/>
          <w:szCs w:val="28"/>
        </w:rPr>
        <w:t>校内校外导师联合指导，</w:t>
      </w:r>
      <w:r>
        <w:rPr>
          <w:rFonts w:hint="eastAsia"/>
          <w:sz w:val="28"/>
          <w:szCs w:val="28"/>
        </w:rPr>
        <w:t>开展</w:t>
      </w:r>
      <w:r>
        <w:rPr>
          <w:sz w:val="28"/>
          <w:szCs w:val="28"/>
        </w:rPr>
        <w:t>涵养师德体验、</w:t>
      </w:r>
      <w:r>
        <w:rPr>
          <w:rFonts w:hint="eastAsia"/>
          <w:sz w:val="28"/>
          <w:szCs w:val="28"/>
        </w:rPr>
        <w:t>课堂教学</w:t>
      </w:r>
      <w:r>
        <w:rPr>
          <w:sz w:val="28"/>
          <w:szCs w:val="28"/>
        </w:rPr>
        <w:t>、班级管理和</w:t>
      </w:r>
      <w:r>
        <w:rPr>
          <w:rFonts w:hint="eastAsia"/>
          <w:sz w:val="28"/>
          <w:szCs w:val="28"/>
        </w:rPr>
        <w:t>教学研究等教育实践</w:t>
      </w:r>
      <w:r>
        <w:rPr>
          <w:sz w:val="28"/>
          <w:szCs w:val="28"/>
        </w:rPr>
        <w:t>。</w:t>
      </w:r>
      <w:r>
        <w:rPr>
          <w:rFonts w:hint="eastAsia"/>
          <w:sz w:val="28"/>
          <w:szCs w:val="28"/>
        </w:rPr>
        <w:t>开展跨学科实训营、拓展课开发实践和“教育</w:t>
      </w:r>
      <w:r>
        <w:rPr>
          <w:sz w:val="28"/>
          <w:szCs w:val="28"/>
        </w:rPr>
        <w:t>+”研习等</w:t>
      </w:r>
      <w:r>
        <w:rPr>
          <w:rFonts w:hint="eastAsia"/>
          <w:sz w:val="28"/>
          <w:szCs w:val="28"/>
        </w:rPr>
        <w:t>拓展研究，丰富学科教学知识，完善教学实践能力。实施</w:t>
      </w:r>
      <w:r>
        <w:rPr>
          <w:sz w:val="28"/>
          <w:szCs w:val="28"/>
        </w:rPr>
        <w:t>“六个一”提升工程：</w:t>
      </w:r>
      <w:r>
        <w:rPr>
          <w:rFonts w:hint="eastAsia"/>
          <w:sz w:val="28"/>
          <w:szCs w:val="28"/>
        </w:rPr>
        <w:t>完成一篇学科教育文献综述</w:t>
      </w:r>
      <w:r>
        <w:rPr>
          <w:sz w:val="28"/>
          <w:szCs w:val="28"/>
        </w:rPr>
        <w:t>、上好一节课并完成教学反思、出好一份高质量的试卷、设计一个智能教育视角下的教学案例、参加一次教学技能比赛、参与一项双创项目。依托师范生数字素养微能力认证体系，聚焦教学准备、教学实施、教学评价和教学反思等</w:t>
      </w:r>
      <w:r>
        <w:rPr>
          <w:rFonts w:hint="eastAsia"/>
          <w:sz w:val="28"/>
          <w:szCs w:val="28"/>
        </w:rPr>
        <w:t>评价</w:t>
      </w:r>
      <w:r>
        <w:rPr>
          <w:sz w:val="28"/>
          <w:szCs w:val="28"/>
        </w:rPr>
        <w:t>维度，促进师范生数字素养跃升。</w:t>
      </w:r>
    </w:p>
    <w:p>
      <w:pPr>
        <w:pStyle w:val="4"/>
        <w:rPr>
          <w:color w:val="auto"/>
        </w:rPr>
      </w:pPr>
      <w:r>
        <w:rPr>
          <w:rFonts w:hint="eastAsia"/>
          <w:color w:val="auto"/>
        </w:rPr>
        <w:t>（四）履约调整</w:t>
      </w:r>
    </w:p>
    <w:p>
      <w:pPr>
        <w:adjustRightInd w:val="0"/>
        <w:snapToGrid w:val="0"/>
        <w:spacing w:before="120" w:beforeLines="50" w:line="440" w:lineRule="exact"/>
        <w:ind w:firstLine="562" w:firstLineChars="200"/>
        <w:jc w:val="both"/>
        <w:rPr>
          <w:rFonts w:cs="Times New Roman"/>
          <w:b/>
          <w:bCs/>
          <w:sz w:val="28"/>
          <w:szCs w:val="28"/>
        </w:rPr>
      </w:pPr>
      <w:r>
        <w:rPr>
          <w:rFonts w:hint="eastAsia" w:cs="Times New Roman"/>
          <w:b/>
          <w:bCs/>
          <w:sz w:val="28"/>
          <w:szCs w:val="28"/>
        </w:rPr>
        <w:t>1</w:t>
      </w:r>
      <w:r>
        <w:rPr>
          <w:rFonts w:cs="Times New Roman"/>
          <w:b/>
          <w:bCs/>
          <w:sz w:val="28"/>
          <w:szCs w:val="28"/>
        </w:rPr>
        <w:t>.</w:t>
      </w:r>
      <w:r>
        <w:rPr>
          <w:rFonts w:hint="eastAsia" w:cs="Times New Roman"/>
          <w:b/>
          <w:bCs/>
          <w:sz w:val="28"/>
          <w:szCs w:val="28"/>
        </w:rPr>
        <w:t>履约地排序</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研究生一年级课程学习结束后，学校根据学生本科以来的综合考核结果进行排序。学生按排序在录取当年公布的生源所在省份相关专业履约任教地（市、州、盟）范围内进行选择，经学校确认，在《本研衔接师范生公费教育协议》中补充履约任教地（市、州、盟）信息。</w:t>
      </w:r>
    </w:p>
    <w:p>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2.</w:t>
      </w:r>
      <w:r>
        <w:rPr>
          <w:rFonts w:hint="eastAsia" w:cs="Times New Roman"/>
          <w:b/>
          <w:bCs/>
          <w:sz w:val="28"/>
          <w:szCs w:val="28"/>
        </w:rPr>
        <w:t>暂缓履约</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学生因生病、应征入伍等原因不能履行协议的，须提出中止协议申请，经相关省级教育行政部门同意后，暂缓履约。待情况允许并经省级教育行政部门核实后可继续履行协议。</w:t>
      </w:r>
    </w:p>
    <w:p>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3.</w:t>
      </w:r>
      <w:r>
        <w:rPr>
          <w:rFonts w:hint="eastAsia" w:cs="Times New Roman"/>
          <w:b/>
          <w:bCs/>
          <w:sz w:val="28"/>
          <w:szCs w:val="28"/>
        </w:rPr>
        <w:t>解约情况</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（1）录取后经考察不适合从教的学生，在入学</w:t>
      </w:r>
      <w:r>
        <w:rPr>
          <w:rFonts w:cs="Times New Roman"/>
          <w:sz w:val="28"/>
          <w:szCs w:val="28"/>
        </w:rPr>
        <w:t>1年内，按照规定退还已享受的公费教育费用，并由</w:t>
      </w:r>
      <w:r>
        <w:rPr>
          <w:rFonts w:hint="eastAsia" w:cs="Times New Roman"/>
          <w:sz w:val="28"/>
          <w:szCs w:val="28"/>
        </w:rPr>
        <w:t>学校</w:t>
      </w:r>
      <w:r>
        <w:rPr>
          <w:rFonts w:cs="Times New Roman"/>
          <w:sz w:val="28"/>
          <w:szCs w:val="28"/>
        </w:rPr>
        <w:t>根据当年高考成绩将其调整到符合录取条件的非师范专业。</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（3）</w:t>
      </w:r>
      <w:r>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Pr>
          <w:rFonts w:hint="eastAsia" w:cs="Times New Roman"/>
          <w:sz w:val="28"/>
          <w:szCs w:val="28"/>
        </w:rPr>
        <w:t>对于上述第一种情况，学生若调整至本学科普通师范专业就读，须完成教育实习等教师教育课程；若调整至本学科非师范专业就读，则按照相应专业的培养方案进行学习。</w:t>
      </w:r>
    </w:p>
    <w:p>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4.</w:t>
      </w:r>
      <w:r>
        <w:rPr>
          <w:rFonts w:hint="eastAsia" w:cs="Times New Roman"/>
          <w:b/>
          <w:bCs/>
          <w:sz w:val="28"/>
          <w:szCs w:val="28"/>
        </w:rPr>
        <w:t>违约情况</w:t>
      </w:r>
    </w:p>
    <w:p>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除上述情形外，学生未在学校规定学习年限内取得教育硕士研究生学历学位证书和教师资格证书的，按违约处理，须退还已享受的公费教育费用并缴纳违约金。</w:t>
      </w:r>
    </w:p>
    <w:p>
      <w:pPr>
        <w:pStyle w:val="4"/>
        <w:rPr>
          <w:color w:val="auto"/>
        </w:rPr>
      </w:pPr>
    </w:p>
    <w:sectPr>
      <w:headerReference r:id="rId3" w:type="default"/>
      <w:footerReference r:id="rId4" w:type="default"/>
      <w:pgSz w:w="11906" w:h="16838"/>
      <w:pgMar w:top="1327" w:right="964" w:bottom="1327" w:left="102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287854"/>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eastAsia"/>
      </w:rPr>
      <w:t>内部文稿</w:t>
    </w:r>
  </w:p>
  <w:p>
    <w:pPr>
      <w:pStyle w:val="9"/>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Y2NjMTA2OGY2YzgxNDNlNTNhZjEzMjRhOTZiNTEifQ=="/>
  </w:docVars>
  <w:rsids>
    <w:rsidRoot w:val="00E93C62"/>
    <w:rsid w:val="00002832"/>
    <w:rsid w:val="00003016"/>
    <w:rsid w:val="00003B0C"/>
    <w:rsid w:val="0000716F"/>
    <w:rsid w:val="000145BA"/>
    <w:rsid w:val="00015223"/>
    <w:rsid w:val="000202A8"/>
    <w:rsid w:val="000214C1"/>
    <w:rsid w:val="00034FF7"/>
    <w:rsid w:val="00035863"/>
    <w:rsid w:val="00040DE6"/>
    <w:rsid w:val="00041F9E"/>
    <w:rsid w:val="000420DE"/>
    <w:rsid w:val="000437B5"/>
    <w:rsid w:val="00043BFC"/>
    <w:rsid w:val="00043C01"/>
    <w:rsid w:val="00046B54"/>
    <w:rsid w:val="000518B0"/>
    <w:rsid w:val="00052909"/>
    <w:rsid w:val="00053810"/>
    <w:rsid w:val="000550A1"/>
    <w:rsid w:val="00057F86"/>
    <w:rsid w:val="00061DD0"/>
    <w:rsid w:val="000674BE"/>
    <w:rsid w:val="00067787"/>
    <w:rsid w:val="000733D1"/>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1026C7"/>
    <w:rsid w:val="001061D6"/>
    <w:rsid w:val="0011643D"/>
    <w:rsid w:val="00117A8D"/>
    <w:rsid w:val="00122311"/>
    <w:rsid w:val="0012369A"/>
    <w:rsid w:val="00124B68"/>
    <w:rsid w:val="0012552D"/>
    <w:rsid w:val="00130828"/>
    <w:rsid w:val="00130DCC"/>
    <w:rsid w:val="00137B43"/>
    <w:rsid w:val="00140D48"/>
    <w:rsid w:val="00146327"/>
    <w:rsid w:val="001478C2"/>
    <w:rsid w:val="00154809"/>
    <w:rsid w:val="00155B11"/>
    <w:rsid w:val="00157509"/>
    <w:rsid w:val="0015794F"/>
    <w:rsid w:val="00160046"/>
    <w:rsid w:val="00166318"/>
    <w:rsid w:val="00167008"/>
    <w:rsid w:val="0016741F"/>
    <w:rsid w:val="00177665"/>
    <w:rsid w:val="001867DC"/>
    <w:rsid w:val="00186B7B"/>
    <w:rsid w:val="0019155F"/>
    <w:rsid w:val="00192157"/>
    <w:rsid w:val="001940EA"/>
    <w:rsid w:val="00194CFA"/>
    <w:rsid w:val="0019508E"/>
    <w:rsid w:val="0019571D"/>
    <w:rsid w:val="00196DF2"/>
    <w:rsid w:val="001A0098"/>
    <w:rsid w:val="001A19DB"/>
    <w:rsid w:val="001A4297"/>
    <w:rsid w:val="001A7B80"/>
    <w:rsid w:val="001B2E83"/>
    <w:rsid w:val="001B4497"/>
    <w:rsid w:val="001B56D2"/>
    <w:rsid w:val="001B6BB9"/>
    <w:rsid w:val="001C0904"/>
    <w:rsid w:val="001C6A15"/>
    <w:rsid w:val="001D77A4"/>
    <w:rsid w:val="001E3B64"/>
    <w:rsid w:val="001E7747"/>
    <w:rsid w:val="001F0D14"/>
    <w:rsid w:val="00201ADD"/>
    <w:rsid w:val="00205943"/>
    <w:rsid w:val="002074E9"/>
    <w:rsid w:val="00207555"/>
    <w:rsid w:val="002121E6"/>
    <w:rsid w:val="00213587"/>
    <w:rsid w:val="0021626F"/>
    <w:rsid w:val="002177B8"/>
    <w:rsid w:val="00220296"/>
    <w:rsid w:val="00222567"/>
    <w:rsid w:val="002225A3"/>
    <w:rsid w:val="002238BB"/>
    <w:rsid w:val="0022412D"/>
    <w:rsid w:val="0022617D"/>
    <w:rsid w:val="00232566"/>
    <w:rsid w:val="00232A8E"/>
    <w:rsid w:val="00233048"/>
    <w:rsid w:val="002415A3"/>
    <w:rsid w:val="0024464E"/>
    <w:rsid w:val="0024555A"/>
    <w:rsid w:val="002511B6"/>
    <w:rsid w:val="00252169"/>
    <w:rsid w:val="00266232"/>
    <w:rsid w:val="00266783"/>
    <w:rsid w:val="002703DF"/>
    <w:rsid w:val="00273687"/>
    <w:rsid w:val="00273FE8"/>
    <w:rsid w:val="00276D2B"/>
    <w:rsid w:val="0028086B"/>
    <w:rsid w:val="00280F35"/>
    <w:rsid w:val="00285349"/>
    <w:rsid w:val="00292325"/>
    <w:rsid w:val="00292828"/>
    <w:rsid w:val="00294FE6"/>
    <w:rsid w:val="00295339"/>
    <w:rsid w:val="00295BEB"/>
    <w:rsid w:val="00296E94"/>
    <w:rsid w:val="00297BB5"/>
    <w:rsid w:val="002A2286"/>
    <w:rsid w:val="002A26C1"/>
    <w:rsid w:val="002A413B"/>
    <w:rsid w:val="002A505D"/>
    <w:rsid w:val="002B155B"/>
    <w:rsid w:val="002B3546"/>
    <w:rsid w:val="002C22DF"/>
    <w:rsid w:val="002C3BD6"/>
    <w:rsid w:val="002D0264"/>
    <w:rsid w:val="002D21D6"/>
    <w:rsid w:val="002D2FA6"/>
    <w:rsid w:val="002D6EED"/>
    <w:rsid w:val="002E638D"/>
    <w:rsid w:val="002E7BD4"/>
    <w:rsid w:val="002F0A45"/>
    <w:rsid w:val="002F7478"/>
    <w:rsid w:val="003057D5"/>
    <w:rsid w:val="003076E1"/>
    <w:rsid w:val="00310C5E"/>
    <w:rsid w:val="00311D23"/>
    <w:rsid w:val="00312906"/>
    <w:rsid w:val="00314525"/>
    <w:rsid w:val="00320506"/>
    <w:rsid w:val="0032117C"/>
    <w:rsid w:val="00321449"/>
    <w:rsid w:val="00323110"/>
    <w:rsid w:val="0032407F"/>
    <w:rsid w:val="003256D8"/>
    <w:rsid w:val="00325913"/>
    <w:rsid w:val="003265EB"/>
    <w:rsid w:val="00340CD2"/>
    <w:rsid w:val="00343762"/>
    <w:rsid w:val="00344E17"/>
    <w:rsid w:val="00346E37"/>
    <w:rsid w:val="0035188B"/>
    <w:rsid w:val="00352F8B"/>
    <w:rsid w:val="0035561B"/>
    <w:rsid w:val="003601B1"/>
    <w:rsid w:val="00361E2F"/>
    <w:rsid w:val="00365A5E"/>
    <w:rsid w:val="003669D6"/>
    <w:rsid w:val="00367190"/>
    <w:rsid w:val="00372F61"/>
    <w:rsid w:val="003748E3"/>
    <w:rsid w:val="00384725"/>
    <w:rsid w:val="00384B9C"/>
    <w:rsid w:val="00385430"/>
    <w:rsid w:val="00385A8C"/>
    <w:rsid w:val="00392826"/>
    <w:rsid w:val="003936B8"/>
    <w:rsid w:val="00394D5A"/>
    <w:rsid w:val="00395DD1"/>
    <w:rsid w:val="003A075B"/>
    <w:rsid w:val="003A6AF6"/>
    <w:rsid w:val="003B74B7"/>
    <w:rsid w:val="003C127D"/>
    <w:rsid w:val="003C2D21"/>
    <w:rsid w:val="003C35C1"/>
    <w:rsid w:val="003C6281"/>
    <w:rsid w:val="003D297C"/>
    <w:rsid w:val="003D3A57"/>
    <w:rsid w:val="003D62A0"/>
    <w:rsid w:val="003E2A9E"/>
    <w:rsid w:val="003E3A1A"/>
    <w:rsid w:val="003E70A7"/>
    <w:rsid w:val="003F0A1D"/>
    <w:rsid w:val="003F2250"/>
    <w:rsid w:val="003F6701"/>
    <w:rsid w:val="003F73D6"/>
    <w:rsid w:val="00403A95"/>
    <w:rsid w:val="004055F7"/>
    <w:rsid w:val="0040754D"/>
    <w:rsid w:val="00412BA3"/>
    <w:rsid w:val="0041328F"/>
    <w:rsid w:val="00414032"/>
    <w:rsid w:val="004154CF"/>
    <w:rsid w:val="00421967"/>
    <w:rsid w:val="00432108"/>
    <w:rsid w:val="00432BD5"/>
    <w:rsid w:val="00437FB5"/>
    <w:rsid w:val="004407F3"/>
    <w:rsid w:val="00440F94"/>
    <w:rsid w:val="00441EAA"/>
    <w:rsid w:val="0044518C"/>
    <w:rsid w:val="00446339"/>
    <w:rsid w:val="0044685C"/>
    <w:rsid w:val="00451B75"/>
    <w:rsid w:val="00456260"/>
    <w:rsid w:val="00464041"/>
    <w:rsid w:val="004664EC"/>
    <w:rsid w:val="00466848"/>
    <w:rsid w:val="004812CE"/>
    <w:rsid w:val="0048180B"/>
    <w:rsid w:val="00481F62"/>
    <w:rsid w:val="00481F91"/>
    <w:rsid w:val="00483190"/>
    <w:rsid w:val="004839BF"/>
    <w:rsid w:val="004905E3"/>
    <w:rsid w:val="00490910"/>
    <w:rsid w:val="004922AC"/>
    <w:rsid w:val="00495235"/>
    <w:rsid w:val="00496273"/>
    <w:rsid w:val="00497C5B"/>
    <w:rsid w:val="004A2BFF"/>
    <w:rsid w:val="004A509B"/>
    <w:rsid w:val="004A58E4"/>
    <w:rsid w:val="004A5E67"/>
    <w:rsid w:val="004B0A13"/>
    <w:rsid w:val="004B468F"/>
    <w:rsid w:val="004B4D59"/>
    <w:rsid w:val="004B72B2"/>
    <w:rsid w:val="004C0165"/>
    <w:rsid w:val="004C0350"/>
    <w:rsid w:val="004C0D39"/>
    <w:rsid w:val="004C333B"/>
    <w:rsid w:val="004C3CCA"/>
    <w:rsid w:val="004D6901"/>
    <w:rsid w:val="004E58CB"/>
    <w:rsid w:val="004F0139"/>
    <w:rsid w:val="004F0C74"/>
    <w:rsid w:val="004F65B0"/>
    <w:rsid w:val="005034D7"/>
    <w:rsid w:val="00505138"/>
    <w:rsid w:val="00525548"/>
    <w:rsid w:val="00527205"/>
    <w:rsid w:val="005340F3"/>
    <w:rsid w:val="00536E3E"/>
    <w:rsid w:val="00540223"/>
    <w:rsid w:val="00544D8B"/>
    <w:rsid w:val="005470AF"/>
    <w:rsid w:val="005539FD"/>
    <w:rsid w:val="00553A90"/>
    <w:rsid w:val="00553BFA"/>
    <w:rsid w:val="00555655"/>
    <w:rsid w:val="00562902"/>
    <w:rsid w:val="00563C42"/>
    <w:rsid w:val="00575270"/>
    <w:rsid w:val="00576E8D"/>
    <w:rsid w:val="0057742D"/>
    <w:rsid w:val="00580BB0"/>
    <w:rsid w:val="00581EDB"/>
    <w:rsid w:val="005837C2"/>
    <w:rsid w:val="0058450C"/>
    <w:rsid w:val="00586335"/>
    <w:rsid w:val="005909CC"/>
    <w:rsid w:val="00591DFF"/>
    <w:rsid w:val="00595720"/>
    <w:rsid w:val="005A10F8"/>
    <w:rsid w:val="005A18CB"/>
    <w:rsid w:val="005A78EE"/>
    <w:rsid w:val="005B20AD"/>
    <w:rsid w:val="005B2197"/>
    <w:rsid w:val="005B7244"/>
    <w:rsid w:val="005B756F"/>
    <w:rsid w:val="005B7D2A"/>
    <w:rsid w:val="005C24E4"/>
    <w:rsid w:val="005D5918"/>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FBC"/>
    <w:rsid w:val="006307E3"/>
    <w:rsid w:val="006329DD"/>
    <w:rsid w:val="0064303F"/>
    <w:rsid w:val="0064679C"/>
    <w:rsid w:val="006506D8"/>
    <w:rsid w:val="0065200E"/>
    <w:rsid w:val="006543D0"/>
    <w:rsid w:val="00657606"/>
    <w:rsid w:val="006579C9"/>
    <w:rsid w:val="00662264"/>
    <w:rsid w:val="00674794"/>
    <w:rsid w:val="00675A31"/>
    <w:rsid w:val="0068183A"/>
    <w:rsid w:val="00681968"/>
    <w:rsid w:val="00683C6C"/>
    <w:rsid w:val="00684D4E"/>
    <w:rsid w:val="00686EA7"/>
    <w:rsid w:val="00687561"/>
    <w:rsid w:val="00691B67"/>
    <w:rsid w:val="00693CF7"/>
    <w:rsid w:val="00694DBD"/>
    <w:rsid w:val="006970BD"/>
    <w:rsid w:val="006A149D"/>
    <w:rsid w:val="006A1E08"/>
    <w:rsid w:val="006A4917"/>
    <w:rsid w:val="006B2335"/>
    <w:rsid w:val="006B63E2"/>
    <w:rsid w:val="006B74FE"/>
    <w:rsid w:val="006C1272"/>
    <w:rsid w:val="006C1828"/>
    <w:rsid w:val="006C27D7"/>
    <w:rsid w:val="006C2A1D"/>
    <w:rsid w:val="006C5582"/>
    <w:rsid w:val="006C5BAC"/>
    <w:rsid w:val="006C6B3E"/>
    <w:rsid w:val="006D5B85"/>
    <w:rsid w:val="006D6ACB"/>
    <w:rsid w:val="006E176E"/>
    <w:rsid w:val="006E3792"/>
    <w:rsid w:val="006E46C8"/>
    <w:rsid w:val="006E7EDF"/>
    <w:rsid w:val="006F4395"/>
    <w:rsid w:val="006F7345"/>
    <w:rsid w:val="007007C3"/>
    <w:rsid w:val="00711B1F"/>
    <w:rsid w:val="0071454C"/>
    <w:rsid w:val="00715410"/>
    <w:rsid w:val="00717A1B"/>
    <w:rsid w:val="007211A4"/>
    <w:rsid w:val="00724387"/>
    <w:rsid w:val="007316E5"/>
    <w:rsid w:val="007319D8"/>
    <w:rsid w:val="007326D1"/>
    <w:rsid w:val="00737300"/>
    <w:rsid w:val="00737B77"/>
    <w:rsid w:val="00746735"/>
    <w:rsid w:val="0074710A"/>
    <w:rsid w:val="00747EC7"/>
    <w:rsid w:val="0075477B"/>
    <w:rsid w:val="00756859"/>
    <w:rsid w:val="0075779C"/>
    <w:rsid w:val="007607D4"/>
    <w:rsid w:val="00764C58"/>
    <w:rsid w:val="00765B7C"/>
    <w:rsid w:val="007715EA"/>
    <w:rsid w:val="00772330"/>
    <w:rsid w:val="007737A1"/>
    <w:rsid w:val="007759BD"/>
    <w:rsid w:val="00781637"/>
    <w:rsid w:val="007861DC"/>
    <w:rsid w:val="00790C1B"/>
    <w:rsid w:val="00796FC9"/>
    <w:rsid w:val="00797D9C"/>
    <w:rsid w:val="007A2088"/>
    <w:rsid w:val="007A2B86"/>
    <w:rsid w:val="007B2E88"/>
    <w:rsid w:val="007B3ACD"/>
    <w:rsid w:val="007C2CDB"/>
    <w:rsid w:val="007C4344"/>
    <w:rsid w:val="007C7142"/>
    <w:rsid w:val="007D3AE5"/>
    <w:rsid w:val="007E1929"/>
    <w:rsid w:val="007E1FD2"/>
    <w:rsid w:val="007E37EB"/>
    <w:rsid w:val="007E5263"/>
    <w:rsid w:val="007E6E09"/>
    <w:rsid w:val="007F01BD"/>
    <w:rsid w:val="00802751"/>
    <w:rsid w:val="00803F1A"/>
    <w:rsid w:val="008057D9"/>
    <w:rsid w:val="00806593"/>
    <w:rsid w:val="00810912"/>
    <w:rsid w:val="00810E62"/>
    <w:rsid w:val="00814CA1"/>
    <w:rsid w:val="00815C9F"/>
    <w:rsid w:val="00817D28"/>
    <w:rsid w:val="008201C2"/>
    <w:rsid w:val="008218D0"/>
    <w:rsid w:val="008237F7"/>
    <w:rsid w:val="00824FDA"/>
    <w:rsid w:val="00825368"/>
    <w:rsid w:val="00826FB5"/>
    <w:rsid w:val="00827030"/>
    <w:rsid w:val="008270CC"/>
    <w:rsid w:val="008325FB"/>
    <w:rsid w:val="00834178"/>
    <w:rsid w:val="0084020F"/>
    <w:rsid w:val="00840441"/>
    <w:rsid w:val="0084786C"/>
    <w:rsid w:val="00851ACF"/>
    <w:rsid w:val="00851FDA"/>
    <w:rsid w:val="0085378D"/>
    <w:rsid w:val="008544B2"/>
    <w:rsid w:val="008553F4"/>
    <w:rsid w:val="008554B7"/>
    <w:rsid w:val="008571CA"/>
    <w:rsid w:val="008605F9"/>
    <w:rsid w:val="00865915"/>
    <w:rsid w:val="00867246"/>
    <w:rsid w:val="008778EE"/>
    <w:rsid w:val="008847C1"/>
    <w:rsid w:val="0089028E"/>
    <w:rsid w:val="008910B7"/>
    <w:rsid w:val="00891E4C"/>
    <w:rsid w:val="008926BD"/>
    <w:rsid w:val="008A1659"/>
    <w:rsid w:val="008A1B02"/>
    <w:rsid w:val="008A38E1"/>
    <w:rsid w:val="008A3D70"/>
    <w:rsid w:val="008A4690"/>
    <w:rsid w:val="008A5509"/>
    <w:rsid w:val="008B145D"/>
    <w:rsid w:val="008B1B56"/>
    <w:rsid w:val="008C1EE0"/>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3A13"/>
    <w:rsid w:val="00924C33"/>
    <w:rsid w:val="00925B51"/>
    <w:rsid w:val="009273F7"/>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6D40"/>
    <w:rsid w:val="00970194"/>
    <w:rsid w:val="009712B2"/>
    <w:rsid w:val="00971728"/>
    <w:rsid w:val="0097332B"/>
    <w:rsid w:val="00974CB7"/>
    <w:rsid w:val="0097543C"/>
    <w:rsid w:val="00975E9A"/>
    <w:rsid w:val="0097647A"/>
    <w:rsid w:val="009803EE"/>
    <w:rsid w:val="00982B26"/>
    <w:rsid w:val="00986003"/>
    <w:rsid w:val="00987D87"/>
    <w:rsid w:val="00990293"/>
    <w:rsid w:val="00991B61"/>
    <w:rsid w:val="009943D9"/>
    <w:rsid w:val="00997E14"/>
    <w:rsid w:val="009A39EF"/>
    <w:rsid w:val="009A6113"/>
    <w:rsid w:val="009A6AD6"/>
    <w:rsid w:val="009A7F4A"/>
    <w:rsid w:val="009B1388"/>
    <w:rsid w:val="009B3EF8"/>
    <w:rsid w:val="009B5298"/>
    <w:rsid w:val="009C12F5"/>
    <w:rsid w:val="009C54EC"/>
    <w:rsid w:val="009C674A"/>
    <w:rsid w:val="009C7D58"/>
    <w:rsid w:val="009D2A71"/>
    <w:rsid w:val="009D4082"/>
    <w:rsid w:val="009D6752"/>
    <w:rsid w:val="009D676E"/>
    <w:rsid w:val="009D6C96"/>
    <w:rsid w:val="009E2C4D"/>
    <w:rsid w:val="009E74B3"/>
    <w:rsid w:val="009F019F"/>
    <w:rsid w:val="009F4F43"/>
    <w:rsid w:val="009F6D4C"/>
    <w:rsid w:val="009F7BDF"/>
    <w:rsid w:val="00A028EF"/>
    <w:rsid w:val="00A037E5"/>
    <w:rsid w:val="00A046FE"/>
    <w:rsid w:val="00A11155"/>
    <w:rsid w:val="00A1143C"/>
    <w:rsid w:val="00A21B94"/>
    <w:rsid w:val="00A22CE8"/>
    <w:rsid w:val="00A25995"/>
    <w:rsid w:val="00A2601E"/>
    <w:rsid w:val="00A277BA"/>
    <w:rsid w:val="00A30CA6"/>
    <w:rsid w:val="00A35DC4"/>
    <w:rsid w:val="00A443B6"/>
    <w:rsid w:val="00A463DE"/>
    <w:rsid w:val="00A50FDD"/>
    <w:rsid w:val="00A51612"/>
    <w:rsid w:val="00A51E3A"/>
    <w:rsid w:val="00A51F6F"/>
    <w:rsid w:val="00A54D13"/>
    <w:rsid w:val="00A60E88"/>
    <w:rsid w:val="00A626AB"/>
    <w:rsid w:val="00A63E4F"/>
    <w:rsid w:val="00A644A3"/>
    <w:rsid w:val="00A7192A"/>
    <w:rsid w:val="00A7205B"/>
    <w:rsid w:val="00A73C5B"/>
    <w:rsid w:val="00A76301"/>
    <w:rsid w:val="00A80736"/>
    <w:rsid w:val="00A8114C"/>
    <w:rsid w:val="00A84A1A"/>
    <w:rsid w:val="00A84F90"/>
    <w:rsid w:val="00A913A5"/>
    <w:rsid w:val="00A9243F"/>
    <w:rsid w:val="00A92D14"/>
    <w:rsid w:val="00A96DB3"/>
    <w:rsid w:val="00AA121C"/>
    <w:rsid w:val="00AA4670"/>
    <w:rsid w:val="00AB1826"/>
    <w:rsid w:val="00AB2F9C"/>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483D"/>
    <w:rsid w:val="00AF069F"/>
    <w:rsid w:val="00AF14AA"/>
    <w:rsid w:val="00AF5336"/>
    <w:rsid w:val="00AF57E8"/>
    <w:rsid w:val="00AF6D08"/>
    <w:rsid w:val="00B02295"/>
    <w:rsid w:val="00B025A9"/>
    <w:rsid w:val="00B035DD"/>
    <w:rsid w:val="00B03C81"/>
    <w:rsid w:val="00B16F3D"/>
    <w:rsid w:val="00B1729C"/>
    <w:rsid w:val="00B17B0A"/>
    <w:rsid w:val="00B17FEA"/>
    <w:rsid w:val="00B234FF"/>
    <w:rsid w:val="00B24B3A"/>
    <w:rsid w:val="00B25FBC"/>
    <w:rsid w:val="00B26039"/>
    <w:rsid w:val="00B264E7"/>
    <w:rsid w:val="00B35C56"/>
    <w:rsid w:val="00B364E9"/>
    <w:rsid w:val="00B373D4"/>
    <w:rsid w:val="00B41455"/>
    <w:rsid w:val="00B46153"/>
    <w:rsid w:val="00B4630C"/>
    <w:rsid w:val="00B50CB8"/>
    <w:rsid w:val="00B55471"/>
    <w:rsid w:val="00B56B9F"/>
    <w:rsid w:val="00B6065E"/>
    <w:rsid w:val="00B612B5"/>
    <w:rsid w:val="00B616C1"/>
    <w:rsid w:val="00B61B17"/>
    <w:rsid w:val="00B7145D"/>
    <w:rsid w:val="00B805AF"/>
    <w:rsid w:val="00B87DB7"/>
    <w:rsid w:val="00B919B8"/>
    <w:rsid w:val="00B93953"/>
    <w:rsid w:val="00B977DF"/>
    <w:rsid w:val="00BA4DE5"/>
    <w:rsid w:val="00BA4E5E"/>
    <w:rsid w:val="00BA53BA"/>
    <w:rsid w:val="00BA58F8"/>
    <w:rsid w:val="00BB7482"/>
    <w:rsid w:val="00BC5E76"/>
    <w:rsid w:val="00BD0A33"/>
    <w:rsid w:val="00BD1EF2"/>
    <w:rsid w:val="00BD22E7"/>
    <w:rsid w:val="00BD2B85"/>
    <w:rsid w:val="00BD2BE3"/>
    <w:rsid w:val="00BD64A5"/>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7040"/>
    <w:rsid w:val="00C272E5"/>
    <w:rsid w:val="00C30D14"/>
    <w:rsid w:val="00C313B5"/>
    <w:rsid w:val="00C32258"/>
    <w:rsid w:val="00C33AA1"/>
    <w:rsid w:val="00C412CF"/>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6FBB"/>
    <w:rsid w:val="00C7098B"/>
    <w:rsid w:val="00C76C3A"/>
    <w:rsid w:val="00C86FC7"/>
    <w:rsid w:val="00C8728B"/>
    <w:rsid w:val="00C92186"/>
    <w:rsid w:val="00C93FF4"/>
    <w:rsid w:val="00C95F57"/>
    <w:rsid w:val="00CA00D5"/>
    <w:rsid w:val="00CA052B"/>
    <w:rsid w:val="00CA15FB"/>
    <w:rsid w:val="00CA2848"/>
    <w:rsid w:val="00CA493A"/>
    <w:rsid w:val="00CA6246"/>
    <w:rsid w:val="00CB0343"/>
    <w:rsid w:val="00CB05EE"/>
    <w:rsid w:val="00CB18DA"/>
    <w:rsid w:val="00CB7ACE"/>
    <w:rsid w:val="00CB7BEB"/>
    <w:rsid w:val="00CC1A83"/>
    <w:rsid w:val="00CC2CA5"/>
    <w:rsid w:val="00CC62DD"/>
    <w:rsid w:val="00CC66E8"/>
    <w:rsid w:val="00CC6C94"/>
    <w:rsid w:val="00CD4159"/>
    <w:rsid w:val="00CD4742"/>
    <w:rsid w:val="00CD599D"/>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F3A"/>
    <w:rsid w:val="00DE6C87"/>
    <w:rsid w:val="00DF1394"/>
    <w:rsid w:val="00DF2C5B"/>
    <w:rsid w:val="00DF7981"/>
    <w:rsid w:val="00E017E4"/>
    <w:rsid w:val="00E02655"/>
    <w:rsid w:val="00E03A9C"/>
    <w:rsid w:val="00E05D27"/>
    <w:rsid w:val="00E0691B"/>
    <w:rsid w:val="00E11239"/>
    <w:rsid w:val="00E11798"/>
    <w:rsid w:val="00E11F28"/>
    <w:rsid w:val="00E12F3C"/>
    <w:rsid w:val="00E139AA"/>
    <w:rsid w:val="00E152F4"/>
    <w:rsid w:val="00E16572"/>
    <w:rsid w:val="00E24E53"/>
    <w:rsid w:val="00E272B9"/>
    <w:rsid w:val="00E300D0"/>
    <w:rsid w:val="00E3061C"/>
    <w:rsid w:val="00E3249E"/>
    <w:rsid w:val="00E3326A"/>
    <w:rsid w:val="00E348F3"/>
    <w:rsid w:val="00E36082"/>
    <w:rsid w:val="00E373C3"/>
    <w:rsid w:val="00E421EE"/>
    <w:rsid w:val="00E42D94"/>
    <w:rsid w:val="00E441DA"/>
    <w:rsid w:val="00E45D31"/>
    <w:rsid w:val="00E45F78"/>
    <w:rsid w:val="00E507E9"/>
    <w:rsid w:val="00E51069"/>
    <w:rsid w:val="00E52DFF"/>
    <w:rsid w:val="00E54DA7"/>
    <w:rsid w:val="00E55CEC"/>
    <w:rsid w:val="00E56252"/>
    <w:rsid w:val="00E57264"/>
    <w:rsid w:val="00E62FE8"/>
    <w:rsid w:val="00E63F6C"/>
    <w:rsid w:val="00E70C7C"/>
    <w:rsid w:val="00E72CA9"/>
    <w:rsid w:val="00E82B9E"/>
    <w:rsid w:val="00E8517D"/>
    <w:rsid w:val="00E87591"/>
    <w:rsid w:val="00E9054A"/>
    <w:rsid w:val="00E93481"/>
    <w:rsid w:val="00E93C62"/>
    <w:rsid w:val="00E95448"/>
    <w:rsid w:val="00EA2BC8"/>
    <w:rsid w:val="00EA7F6C"/>
    <w:rsid w:val="00EB3812"/>
    <w:rsid w:val="00EB4B7F"/>
    <w:rsid w:val="00EC754A"/>
    <w:rsid w:val="00EC759D"/>
    <w:rsid w:val="00ED1A16"/>
    <w:rsid w:val="00ED2240"/>
    <w:rsid w:val="00ED3D75"/>
    <w:rsid w:val="00EE3698"/>
    <w:rsid w:val="00EE7346"/>
    <w:rsid w:val="00EF0DF6"/>
    <w:rsid w:val="00EF1809"/>
    <w:rsid w:val="00EF299F"/>
    <w:rsid w:val="00F028A3"/>
    <w:rsid w:val="00F03CB9"/>
    <w:rsid w:val="00F04FED"/>
    <w:rsid w:val="00F05AC5"/>
    <w:rsid w:val="00F07132"/>
    <w:rsid w:val="00F110C7"/>
    <w:rsid w:val="00F129AD"/>
    <w:rsid w:val="00F1364E"/>
    <w:rsid w:val="00F17D24"/>
    <w:rsid w:val="00F20115"/>
    <w:rsid w:val="00F26721"/>
    <w:rsid w:val="00F2719C"/>
    <w:rsid w:val="00F31583"/>
    <w:rsid w:val="00F33442"/>
    <w:rsid w:val="00F44557"/>
    <w:rsid w:val="00F44999"/>
    <w:rsid w:val="00F44C24"/>
    <w:rsid w:val="00F55BAC"/>
    <w:rsid w:val="00F603AC"/>
    <w:rsid w:val="00F64750"/>
    <w:rsid w:val="00F70715"/>
    <w:rsid w:val="00F70968"/>
    <w:rsid w:val="00F70AC5"/>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6F70"/>
    <w:rsid w:val="00FC746E"/>
    <w:rsid w:val="00FC7525"/>
    <w:rsid w:val="00FC7873"/>
    <w:rsid w:val="00FD5FFE"/>
    <w:rsid w:val="00FD68C2"/>
    <w:rsid w:val="00FE3BB0"/>
    <w:rsid w:val="00FE427F"/>
    <w:rsid w:val="00FE543D"/>
    <w:rsid w:val="00FE54B7"/>
    <w:rsid w:val="00FE5CC4"/>
    <w:rsid w:val="00FE607D"/>
    <w:rsid w:val="00FF10C7"/>
    <w:rsid w:val="00FF4F36"/>
    <w:rsid w:val="00FF5DB6"/>
    <w:rsid w:val="014B38AD"/>
    <w:rsid w:val="034E68CB"/>
    <w:rsid w:val="04787C5D"/>
    <w:rsid w:val="0596483F"/>
    <w:rsid w:val="06A27213"/>
    <w:rsid w:val="074A66D7"/>
    <w:rsid w:val="075C5614"/>
    <w:rsid w:val="09375D4C"/>
    <w:rsid w:val="09A862AD"/>
    <w:rsid w:val="09ED2DAF"/>
    <w:rsid w:val="0A46352C"/>
    <w:rsid w:val="0A5B6057"/>
    <w:rsid w:val="0AEA1189"/>
    <w:rsid w:val="0B9333FA"/>
    <w:rsid w:val="0BB54DE9"/>
    <w:rsid w:val="0BD068C0"/>
    <w:rsid w:val="0BEA58E4"/>
    <w:rsid w:val="0CCA3020"/>
    <w:rsid w:val="0D4C612B"/>
    <w:rsid w:val="0EC708A2"/>
    <w:rsid w:val="0F0F7410"/>
    <w:rsid w:val="0F28329C"/>
    <w:rsid w:val="0FEB5787"/>
    <w:rsid w:val="10D12BCF"/>
    <w:rsid w:val="123D3153"/>
    <w:rsid w:val="1299771C"/>
    <w:rsid w:val="14524026"/>
    <w:rsid w:val="14AC098C"/>
    <w:rsid w:val="1666025D"/>
    <w:rsid w:val="171F2F05"/>
    <w:rsid w:val="189164BD"/>
    <w:rsid w:val="18916A96"/>
    <w:rsid w:val="18F0395D"/>
    <w:rsid w:val="19FB7B2A"/>
    <w:rsid w:val="1A350500"/>
    <w:rsid w:val="1E9D2342"/>
    <w:rsid w:val="1FB21E1D"/>
    <w:rsid w:val="215238B8"/>
    <w:rsid w:val="23015A65"/>
    <w:rsid w:val="234C1912"/>
    <w:rsid w:val="235F22BC"/>
    <w:rsid w:val="238E0DF3"/>
    <w:rsid w:val="263466B4"/>
    <w:rsid w:val="263B480B"/>
    <w:rsid w:val="27075337"/>
    <w:rsid w:val="275D42B5"/>
    <w:rsid w:val="2902261B"/>
    <w:rsid w:val="297E7214"/>
    <w:rsid w:val="2BD33847"/>
    <w:rsid w:val="2DAA1B06"/>
    <w:rsid w:val="2E3507E9"/>
    <w:rsid w:val="2E861D10"/>
    <w:rsid w:val="2EB4284F"/>
    <w:rsid w:val="2F17231F"/>
    <w:rsid w:val="300A02AF"/>
    <w:rsid w:val="308C2216"/>
    <w:rsid w:val="308E2433"/>
    <w:rsid w:val="316867E0"/>
    <w:rsid w:val="31AF08B2"/>
    <w:rsid w:val="32C739DA"/>
    <w:rsid w:val="335354DD"/>
    <w:rsid w:val="34B33914"/>
    <w:rsid w:val="3555035A"/>
    <w:rsid w:val="37471E40"/>
    <w:rsid w:val="375A4E1C"/>
    <w:rsid w:val="37F14215"/>
    <w:rsid w:val="3802143A"/>
    <w:rsid w:val="38A5089C"/>
    <w:rsid w:val="3AA52853"/>
    <w:rsid w:val="3CE21B3C"/>
    <w:rsid w:val="3E09134A"/>
    <w:rsid w:val="3EBF1A09"/>
    <w:rsid w:val="3EFB6EE5"/>
    <w:rsid w:val="3F821F8E"/>
    <w:rsid w:val="3F8766EF"/>
    <w:rsid w:val="3FB8669C"/>
    <w:rsid w:val="40113948"/>
    <w:rsid w:val="40F60668"/>
    <w:rsid w:val="41BD66D4"/>
    <w:rsid w:val="421502BE"/>
    <w:rsid w:val="42E3660E"/>
    <w:rsid w:val="454B2248"/>
    <w:rsid w:val="45605CF4"/>
    <w:rsid w:val="4574354D"/>
    <w:rsid w:val="464B69A4"/>
    <w:rsid w:val="46E561B7"/>
    <w:rsid w:val="471054F8"/>
    <w:rsid w:val="477A6E15"/>
    <w:rsid w:val="47CD5197"/>
    <w:rsid w:val="48050F0E"/>
    <w:rsid w:val="4BD05255"/>
    <w:rsid w:val="4C3103EA"/>
    <w:rsid w:val="4C3677AE"/>
    <w:rsid w:val="4C944268"/>
    <w:rsid w:val="4CF24DCE"/>
    <w:rsid w:val="4D155616"/>
    <w:rsid w:val="4EEF633A"/>
    <w:rsid w:val="4F3A38A6"/>
    <w:rsid w:val="4FF260E2"/>
    <w:rsid w:val="508676F4"/>
    <w:rsid w:val="51177359"/>
    <w:rsid w:val="51F43319"/>
    <w:rsid w:val="534A15A9"/>
    <w:rsid w:val="53E45D42"/>
    <w:rsid w:val="54FB1595"/>
    <w:rsid w:val="57995095"/>
    <w:rsid w:val="58B67E0D"/>
    <w:rsid w:val="58DC7930"/>
    <w:rsid w:val="5B495FFC"/>
    <w:rsid w:val="5CAE3391"/>
    <w:rsid w:val="5D0A1236"/>
    <w:rsid w:val="5EE17B1D"/>
    <w:rsid w:val="5EE4309A"/>
    <w:rsid w:val="5EEA3909"/>
    <w:rsid w:val="5F465B03"/>
    <w:rsid w:val="60017C7C"/>
    <w:rsid w:val="60681AA9"/>
    <w:rsid w:val="61204131"/>
    <w:rsid w:val="61786F13"/>
    <w:rsid w:val="62410803"/>
    <w:rsid w:val="63942627"/>
    <w:rsid w:val="64112ABA"/>
    <w:rsid w:val="643028DD"/>
    <w:rsid w:val="64DB6CED"/>
    <w:rsid w:val="65F77B57"/>
    <w:rsid w:val="667411A7"/>
    <w:rsid w:val="66BB0B84"/>
    <w:rsid w:val="681F15E7"/>
    <w:rsid w:val="69A94A2A"/>
    <w:rsid w:val="6A843983"/>
    <w:rsid w:val="6B6932A5"/>
    <w:rsid w:val="6C983716"/>
    <w:rsid w:val="6CE8719D"/>
    <w:rsid w:val="6D154D66"/>
    <w:rsid w:val="6D68016D"/>
    <w:rsid w:val="6D9E7A5C"/>
    <w:rsid w:val="6EE3336E"/>
    <w:rsid w:val="70497201"/>
    <w:rsid w:val="704B7B93"/>
    <w:rsid w:val="70E92792"/>
    <w:rsid w:val="71912767"/>
    <w:rsid w:val="72263B1A"/>
    <w:rsid w:val="72F01BB6"/>
    <w:rsid w:val="731C29AB"/>
    <w:rsid w:val="7452530D"/>
    <w:rsid w:val="747B16DF"/>
    <w:rsid w:val="759E7FEF"/>
    <w:rsid w:val="764A5A81"/>
    <w:rsid w:val="7665041C"/>
    <w:rsid w:val="7755292F"/>
    <w:rsid w:val="78595816"/>
    <w:rsid w:val="796B468C"/>
    <w:rsid w:val="798017B9"/>
    <w:rsid w:val="7A37456E"/>
    <w:rsid w:val="7A55297D"/>
    <w:rsid w:val="7B6A2721"/>
    <w:rsid w:val="7D3B4375"/>
    <w:rsid w:val="7DCB56F9"/>
    <w:rsid w:val="7EA67F14"/>
    <w:rsid w:val="7EC16F8B"/>
    <w:rsid w:val="7ED4682F"/>
    <w:rsid w:val="7EFC18E2"/>
    <w:rsid w:val="7F2E5D54"/>
    <w:rsid w:val="7F402117"/>
  </w:rsids>
  <m:mathPr>
    <m:mathFont m:val="Cambria Math"/>
    <m:brkBin m:val="before"/>
    <m:brkBinSub m:val="--"/>
    <m:smallFrac m:val="1"/>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unhideWhenUsed/>
    <w:qFormat/>
    <w:uiPriority w:val="9"/>
    <w:pPr>
      <w:keepNext/>
      <w:keepLines/>
      <w:adjustRightInd w:val="0"/>
      <w:snapToGrid w:val="0"/>
      <w:spacing w:before="120" w:beforeLines="50" w:line="440" w:lineRule="exact"/>
      <w:ind w:firstLine="420"/>
      <w:outlineLvl w:val="1"/>
    </w:pPr>
    <w:rPr>
      <w:rFonts w:ascii="黑体" w:hAnsi="黑体" w:eastAsia="黑体" w:cstheme="majorBidi"/>
      <w:b/>
      <w:bCs/>
      <w:color w:val="FF0000"/>
      <w:sz w:val="28"/>
      <w:szCs w:val="28"/>
    </w:rPr>
  </w:style>
  <w:style w:type="paragraph" w:styleId="4">
    <w:name w:val="heading 3"/>
    <w:basedOn w:val="1"/>
    <w:next w:val="1"/>
    <w:link w:val="21"/>
    <w:autoRedefine/>
    <w:qFormat/>
    <w:uiPriority w:val="9"/>
    <w:pPr>
      <w:adjustRightInd w:val="0"/>
      <w:snapToGrid w:val="0"/>
      <w:spacing w:before="120" w:beforeLines="50" w:after="120" w:afterLines="50" w:line="440" w:lineRule="exact"/>
      <w:ind w:firstLine="562" w:firstLineChars="200"/>
      <w:outlineLvl w:val="2"/>
    </w:pPr>
    <w:rPr>
      <w:rFonts w:cs="Times New Roman"/>
      <w:b/>
      <w:bCs/>
      <w:color w:val="FF0000"/>
      <w:sz w:val="28"/>
      <w:szCs w:val="28"/>
    </w:rPr>
  </w:style>
  <w:style w:type="paragraph" w:styleId="5">
    <w:name w:val="heading 4"/>
    <w:basedOn w:val="1"/>
    <w:next w:val="1"/>
    <w:link w:val="22"/>
    <w:autoRedefine/>
    <w:qFormat/>
    <w:uiPriority w:val="9"/>
    <w:pPr>
      <w:spacing w:before="100" w:beforeAutospacing="1" w:after="100" w:afterAutospacing="1"/>
      <w:outlineLvl w:val="3"/>
    </w:pPr>
    <w:rPr>
      <w:b/>
      <w:bCs/>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unhideWhenUsed/>
    <w:qFormat/>
    <w:uiPriority w:val="99"/>
    <w:rPr>
      <w:rFonts w:hint="eastAsia" w:cs="Times New Roman"/>
    </w:rPr>
  </w:style>
  <w:style w:type="paragraph" w:styleId="7">
    <w:name w:val="Balloon Text"/>
    <w:basedOn w:val="1"/>
    <w:link w:val="29"/>
    <w:autoRedefine/>
    <w:semiHidden/>
    <w:unhideWhenUsed/>
    <w:qFormat/>
    <w:uiPriority w:val="99"/>
    <w:rPr>
      <w:sz w:val="18"/>
      <w:szCs w:val="18"/>
    </w:rPr>
  </w:style>
  <w:style w:type="paragraph" w:styleId="8">
    <w:name w:val="footer"/>
    <w:basedOn w:val="1"/>
    <w:link w:val="28"/>
    <w:autoRedefine/>
    <w:unhideWhenUsed/>
    <w:qFormat/>
    <w:uiPriority w:val="99"/>
    <w:pPr>
      <w:tabs>
        <w:tab w:val="center" w:pos="4153"/>
        <w:tab w:val="right" w:pos="8306"/>
      </w:tabs>
      <w:snapToGrid w:val="0"/>
    </w:pPr>
    <w:rPr>
      <w:sz w:val="18"/>
      <w:szCs w:val="18"/>
    </w:rPr>
  </w:style>
  <w:style w:type="paragraph" w:styleId="9">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5"/>
    <w:autoRedefine/>
    <w:semiHidden/>
    <w:unhideWhenUsed/>
    <w:qFormat/>
    <w:uiPriority w:val="99"/>
    <w:pPr>
      <w:snapToGrid w:val="0"/>
    </w:pPr>
    <w:rPr>
      <w:sz w:val="18"/>
      <w:szCs w:val="18"/>
    </w:rPr>
  </w:style>
  <w:style w:type="paragraph" w:styleId="11">
    <w:name w:val="Normal (Web)"/>
    <w:basedOn w:val="1"/>
    <w:semiHidden/>
    <w:unhideWhenUsed/>
    <w:qFormat/>
    <w:uiPriority w:val="99"/>
  </w:style>
  <w:style w:type="paragraph" w:styleId="12">
    <w:name w:val="annotation subject"/>
    <w:basedOn w:val="6"/>
    <w:next w:val="6"/>
    <w:link w:val="31"/>
    <w:autoRedefine/>
    <w:semiHidden/>
    <w:unhideWhenUsed/>
    <w:qFormat/>
    <w:uiPriority w:val="99"/>
    <w:rPr>
      <w:b/>
      <w:bCs/>
    </w:rPr>
  </w:style>
  <w:style w:type="character" w:styleId="15">
    <w:name w:val="Strong"/>
    <w:basedOn w:val="14"/>
    <w:autoRedefine/>
    <w:qFormat/>
    <w:uiPriority w:val="22"/>
    <w:rPr>
      <w:b/>
      <w:bCs/>
    </w:rPr>
  </w:style>
  <w:style w:type="character" w:styleId="16">
    <w:name w:val="annotation reference"/>
    <w:basedOn w:val="14"/>
    <w:semiHidden/>
    <w:unhideWhenUsed/>
    <w:qFormat/>
    <w:uiPriority w:val="99"/>
    <w:rPr>
      <w:sz w:val="21"/>
      <w:szCs w:val="21"/>
    </w:rPr>
  </w:style>
  <w:style w:type="character" w:styleId="17">
    <w:name w:val="footnote reference"/>
    <w:basedOn w:val="14"/>
    <w:autoRedefine/>
    <w:semiHidden/>
    <w:unhideWhenUsed/>
    <w:qFormat/>
    <w:uiPriority w:val="99"/>
    <w:rPr>
      <w:vertAlign w:val="superscript"/>
    </w:rPr>
  </w:style>
  <w:style w:type="paragraph" w:customStyle="1" w:styleId="18">
    <w:name w:val="msonormal"/>
    <w:basedOn w:val="1"/>
    <w:autoRedefine/>
    <w:qFormat/>
    <w:uiPriority w:val="0"/>
    <w:pPr>
      <w:spacing w:before="100" w:beforeAutospacing="1" w:after="100" w:afterAutospacing="1"/>
    </w:pPr>
  </w:style>
  <w:style w:type="paragraph" w:customStyle="1" w:styleId="19">
    <w:name w:val="xs-cultivation"/>
    <w:basedOn w:val="1"/>
    <w:autoRedefine/>
    <w:qFormat/>
    <w:uiPriority w:val="0"/>
    <w:pPr>
      <w:spacing w:before="100" w:beforeAutospacing="1" w:after="100" w:afterAutospacing="1"/>
    </w:pPr>
    <w:rPr>
      <w:sz w:val="21"/>
      <w:szCs w:val="21"/>
    </w:rPr>
  </w:style>
  <w:style w:type="paragraph" w:customStyle="1" w:styleId="20">
    <w:name w:val="modal-lg"/>
    <w:basedOn w:val="1"/>
    <w:autoRedefine/>
    <w:qFormat/>
    <w:uiPriority w:val="0"/>
    <w:pPr>
      <w:spacing w:before="100" w:beforeAutospacing="1" w:after="100" w:afterAutospacing="1"/>
    </w:pPr>
  </w:style>
  <w:style w:type="character" w:customStyle="1" w:styleId="21">
    <w:name w:val="标题 3 字符"/>
    <w:basedOn w:val="14"/>
    <w:link w:val="4"/>
    <w:autoRedefine/>
    <w:qFormat/>
    <w:uiPriority w:val="9"/>
    <w:rPr>
      <w:rFonts w:ascii="宋体" w:hAnsi="宋体"/>
      <w:b/>
      <w:bCs/>
      <w:color w:val="FF0000"/>
      <w:sz w:val="28"/>
      <w:szCs w:val="28"/>
    </w:rPr>
  </w:style>
  <w:style w:type="character" w:customStyle="1" w:styleId="22">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3">
    <w:name w:val="ng-binding"/>
    <w:basedOn w:val="14"/>
    <w:qFormat/>
    <w:uiPriority w:val="0"/>
  </w:style>
  <w:style w:type="paragraph" w:customStyle="1" w:styleId="24">
    <w:name w:val="ng-binding1"/>
    <w:basedOn w:val="1"/>
    <w:autoRedefine/>
    <w:qFormat/>
    <w:uiPriority w:val="0"/>
    <w:pPr>
      <w:spacing w:before="100" w:beforeAutospacing="1" w:after="100" w:afterAutospacing="1"/>
    </w:pPr>
  </w:style>
  <w:style w:type="paragraph" w:customStyle="1" w:styleId="25">
    <w:name w:val="mutiple-rows"/>
    <w:basedOn w:val="1"/>
    <w:qFormat/>
    <w:uiPriority w:val="0"/>
    <w:pPr>
      <w:spacing w:before="100" w:beforeAutospacing="1" w:after="100" w:afterAutospacing="1"/>
      <w:jc w:val="center"/>
      <w:textAlignment w:val="center"/>
    </w:pPr>
  </w:style>
  <w:style w:type="paragraph" w:styleId="26">
    <w:name w:val="List Paragraph"/>
    <w:basedOn w:val="1"/>
    <w:autoRedefine/>
    <w:qFormat/>
    <w:uiPriority w:val="34"/>
    <w:pPr>
      <w:ind w:firstLine="420" w:firstLineChars="200"/>
    </w:pPr>
  </w:style>
  <w:style w:type="character" w:customStyle="1" w:styleId="27">
    <w:name w:val="页眉 字符"/>
    <w:basedOn w:val="14"/>
    <w:link w:val="9"/>
    <w:qFormat/>
    <w:uiPriority w:val="99"/>
    <w:rPr>
      <w:rFonts w:ascii="宋体" w:hAnsi="宋体" w:eastAsia="宋体" w:cs="宋体"/>
      <w:sz w:val="18"/>
      <w:szCs w:val="18"/>
    </w:rPr>
  </w:style>
  <w:style w:type="character" w:customStyle="1" w:styleId="28">
    <w:name w:val="页脚 字符"/>
    <w:basedOn w:val="14"/>
    <w:link w:val="8"/>
    <w:qFormat/>
    <w:uiPriority w:val="99"/>
    <w:rPr>
      <w:rFonts w:ascii="宋体" w:hAnsi="宋体" w:eastAsia="宋体" w:cs="宋体"/>
      <w:sz w:val="18"/>
      <w:szCs w:val="18"/>
    </w:rPr>
  </w:style>
  <w:style w:type="character" w:customStyle="1" w:styleId="29">
    <w:name w:val="批注框文本 字符"/>
    <w:basedOn w:val="14"/>
    <w:link w:val="7"/>
    <w:semiHidden/>
    <w:qFormat/>
    <w:uiPriority w:val="99"/>
    <w:rPr>
      <w:rFonts w:ascii="宋体" w:hAnsi="宋体" w:eastAsia="宋体" w:cs="宋体"/>
      <w:sz w:val="18"/>
      <w:szCs w:val="18"/>
    </w:rPr>
  </w:style>
  <w:style w:type="character" w:customStyle="1" w:styleId="30">
    <w:name w:val="批注文字 字符"/>
    <w:basedOn w:val="14"/>
    <w:link w:val="6"/>
    <w:autoRedefine/>
    <w:qFormat/>
    <w:uiPriority w:val="99"/>
    <w:rPr>
      <w:rFonts w:ascii="宋体" w:hAnsi="宋体" w:eastAsia="宋体" w:cs="宋体"/>
      <w:sz w:val="24"/>
      <w:szCs w:val="24"/>
    </w:rPr>
  </w:style>
  <w:style w:type="character" w:customStyle="1" w:styleId="31">
    <w:name w:val="批注主题 字符"/>
    <w:basedOn w:val="30"/>
    <w:link w:val="12"/>
    <w:autoRedefine/>
    <w:semiHidden/>
    <w:qFormat/>
    <w:uiPriority w:val="99"/>
    <w:rPr>
      <w:rFonts w:ascii="宋体" w:hAnsi="宋体" w:eastAsia="宋体" w:cs="宋体"/>
      <w:b/>
      <w:bCs/>
      <w:sz w:val="24"/>
      <w:szCs w:val="24"/>
    </w:rPr>
  </w:style>
  <w:style w:type="character" w:customStyle="1" w:styleId="32">
    <w:name w:val="标题 1 字符"/>
    <w:basedOn w:val="14"/>
    <w:link w:val="2"/>
    <w:autoRedefine/>
    <w:qFormat/>
    <w:uiPriority w:val="9"/>
    <w:rPr>
      <w:rFonts w:ascii="宋体" w:hAnsi="宋体" w:eastAsia="宋体" w:cs="宋体"/>
      <w:b/>
      <w:bCs/>
      <w:kern w:val="44"/>
      <w:sz w:val="44"/>
      <w:szCs w:val="44"/>
    </w:rPr>
  </w:style>
  <w:style w:type="character" w:customStyle="1" w:styleId="33">
    <w:name w:val="标题 2 字符"/>
    <w:basedOn w:val="14"/>
    <w:link w:val="3"/>
    <w:qFormat/>
    <w:uiPriority w:val="9"/>
    <w:rPr>
      <w:rFonts w:ascii="黑体" w:hAnsi="黑体" w:eastAsia="黑体" w:cstheme="majorBidi"/>
      <w:b/>
      <w:bCs/>
      <w:color w:val="FF0000"/>
      <w:sz w:val="28"/>
      <w:szCs w:val="28"/>
    </w:rPr>
  </w:style>
  <w:style w:type="paragraph" w:customStyle="1" w:styleId="34">
    <w:name w:val="标题3"/>
    <w:basedOn w:val="1"/>
    <w:next w:val="4"/>
    <w:autoRedefine/>
    <w:qFormat/>
    <w:uiPriority w:val="0"/>
    <w:pPr>
      <w:widowControl w:val="0"/>
      <w:spacing w:beforeLines="50" w:afterLines="50"/>
      <w:jc w:val="both"/>
      <w:outlineLvl w:val="2"/>
    </w:pPr>
    <w:rPr>
      <w:rFonts w:cs="Times New Roman"/>
      <w:b/>
      <w:bCs/>
      <w:kern w:val="2"/>
    </w:rPr>
  </w:style>
  <w:style w:type="character" w:customStyle="1" w:styleId="35">
    <w:name w:val="脚注文本 字符"/>
    <w:basedOn w:val="14"/>
    <w:link w:val="10"/>
    <w:autoRedefine/>
    <w:semiHidden/>
    <w:qFormat/>
    <w:uiPriority w:val="99"/>
    <w:rPr>
      <w:rFonts w:ascii="宋体" w:hAnsi="宋体" w:eastAsia="宋体" w:cs="宋体"/>
      <w:sz w:val="18"/>
      <w:szCs w:val="18"/>
    </w:rPr>
  </w:style>
  <w:style w:type="paragraph" w:customStyle="1" w:styleId="36">
    <w:name w:val="修订1"/>
    <w:hidden/>
    <w:semiHidden/>
    <w:qFormat/>
    <w:uiPriority w:val="99"/>
    <w:rPr>
      <w:rFonts w:ascii="宋体" w:hAnsi="宋体" w:eastAsia="宋体" w:cs="宋体"/>
      <w:sz w:val="24"/>
      <w:szCs w:val="24"/>
      <w:lang w:val="en-US" w:eastAsia="zh-CN" w:bidi="ar-SA"/>
    </w:rPr>
  </w:style>
  <w:style w:type="paragraph" w:customStyle="1" w:styleId="37">
    <w:name w:val="修订2"/>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CF933-413F-4DB5-9263-9E6368EC3861}">
  <ds:schemaRefs/>
</ds:datastoreItem>
</file>

<file path=docProps/app.xml><?xml version="1.0" encoding="utf-8"?>
<Properties xmlns="http://schemas.openxmlformats.org/officeDocument/2006/extended-properties" xmlns:vt="http://schemas.openxmlformats.org/officeDocument/2006/docPropsVTypes">
  <Template>Normal</Template>
  <Company>Sinopec</Company>
  <Pages>11</Pages>
  <Words>7238</Words>
  <Characters>7454</Characters>
  <Lines>38</Lines>
  <Paragraphs>10</Paragraphs>
  <TotalTime>0</TotalTime>
  <ScaleCrop>false</ScaleCrop>
  <LinksUpToDate>false</LinksUpToDate>
  <CharactersWithSpaces>7593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2024-06-18T04:42:00Z</dcterms:created>
  <dc:creator>XZJD</dc:creator>
  <cp:lastModifiedBy>潘虹</cp:lastModifiedBy>
  <cp:lastPrinted>2025-06-23T02:07:00Z</cp:lastPrinted>
  <dcterms:modified xsi:type="dcterms:W3CDTF">2025-09-08T02:04:20Z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D7C1F128927D41B19E3B80242CEBF91B_13</vt:lpwstr>
  </property>
  <property fmtid="{D5CDD505-2E9C-101B-9397-08002B2CF9AE}" pid="4" name="KSOTemplateDocerSaveRecord">
    <vt:lpwstr>eyJoZGlkIjoiZTIwYzViMjdiMzIwNGUxMDU2MjAyYzY1NWYyNDlhNzEiLCJ1c2VySWQiOiI0Mzg2NTU2NzEifQ==</vt:lpwstr>
  </property>
</Properties>
</file>